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拘 留 证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）拘字〔    〕    号</w:t>
      </w:r>
    </w:p>
    <w:p/>
    <w:p>
      <w:r>
        <w:rPr>
          <w:rFonts w:ascii="宋体" w:hAnsi="宋体" w:eastAsia="宋体"/>
          <w:b w:val="0"/>
          <w:sz w:val="22"/>
        </w:rPr>
        <w:t>根据《中华人民共和国刑事诉讼法》第八十二条之规定，兹决定对</w:t>
      </w:r>
    </w:p>
    <w:p>
      <w:r>
        <w:rPr>
          <w:rFonts w:ascii="宋体" w:hAnsi="宋体" w:eastAsia="宋体"/>
          <w:b w:val="0"/>
          <w:sz w:val="22"/>
        </w:rPr>
        <w:t>犯罪嫌疑人（性别    ，出生日期        ，住址                ）</w:t>
      </w:r>
    </w:p>
    <w:p>
      <w:r>
        <w:rPr>
          <w:rFonts w:ascii="宋体" w:hAnsi="宋体" w:eastAsia="宋体"/>
          <w:b w:val="0"/>
          <w:sz w:val="22"/>
        </w:rPr>
        <w:t>执行拘留。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