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查 封 决 定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）查字〔    〕    号</w:t>
      </w:r>
    </w:p>
    <w:p/>
    <w:p>
      <w:r>
        <w:rPr>
          <w:rFonts w:ascii="宋体" w:hAnsi="宋体" w:eastAsia="宋体"/>
          <w:b w:val="0"/>
          <w:sz w:val="22"/>
        </w:rPr>
        <w:t>：</w:t>
      </w:r>
    </w:p>
    <w:p>
      <w:r>
        <w:rPr>
          <w:rFonts w:ascii="宋体" w:hAnsi="宋体" w:eastAsia="宋体"/>
          <w:b w:val="0"/>
          <w:sz w:val="22"/>
        </w:rPr>
        <w:t>我局在侦查                            一案中，根据《中华人民共和国刑事诉讼法》</w:t>
      </w:r>
    </w:p>
    <w:p>
      <w:r>
        <w:rPr>
          <w:rFonts w:ascii="宋体" w:hAnsi="宋体" w:eastAsia="宋体"/>
          <w:b w:val="0"/>
          <w:sz w:val="22"/>
        </w:rPr>
        <w:t>第一百四十五条之规定，决定查封下列不动产/特定动产：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名称/坐落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特征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