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立 案 决 定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）立字〔    〕    号</w:t>
      </w:r>
    </w:p>
    <w:p/>
    <w:p>
      <w:r>
        <w:rPr>
          <w:rFonts w:ascii="宋体" w:hAnsi="宋体" w:eastAsia="宋体"/>
          <w:b w:val="0"/>
          <w:sz w:val="22"/>
        </w:rPr>
        <w:t>根据《中华人民共和国刑事诉讼法》第一百一十二条之规定，决定对</w:t>
      </w:r>
    </w:p>
    <w:p>
      <w:r>
        <w:rPr>
          <w:rFonts w:ascii="宋体" w:hAnsi="宋体" w:eastAsia="宋体"/>
          <w:b w:val="0"/>
          <w:sz w:val="22"/>
        </w:rPr>
        <w:t xml:space="preserve">                              一案立案侦查。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