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终 止 侦 查 决 定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）终止字〔    〕    号</w:t>
      </w:r>
    </w:p>
    <w:p/>
    <w:p>
      <w:r>
        <w:rPr>
          <w:rFonts w:ascii="宋体" w:hAnsi="宋体" w:eastAsia="宋体"/>
          <w:b w:val="0"/>
          <w:sz w:val="22"/>
        </w:rPr>
        <w:t>我局办理的                            一案，因</w:t>
      </w:r>
    </w:p>
    <w:p>
      <w:r>
        <w:rPr>
          <w:rFonts w:ascii="宋体" w:hAnsi="宋体" w:eastAsia="宋体"/>
          <w:b w:val="0"/>
          <w:sz w:val="22"/>
        </w:rPr>
        <w:t>（□犯罪嫌疑人死亡；□其他依法不应追究刑事责任），</w:t>
      </w:r>
    </w:p>
    <w:p>
      <w:r>
        <w:rPr>
          <w:rFonts w:ascii="宋体" w:hAnsi="宋体" w:eastAsia="宋体"/>
          <w:b w:val="0"/>
          <w:sz w:val="22"/>
        </w:rPr>
        <w:t>根据《公安机关办理刑事案件程序规定》第一百八十四条之规定，决定终止侦查。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