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释 放 通 知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）释通字〔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我局于      年    月    日    时将犯罪嫌疑人            刑事拘留/逮捕，</w:t>
      </w:r>
    </w:p>
    <w:p>
      <w:r>
        <w:rPr>
          <w:rFonts w:ascii="宋体" w:hAnsi="宋体" w:eastAsia="宋体"/>
          <w:b w:val="0"/>
          <w:sz w:val="22"/>
        </w:rPr>
        <w:t>现因（□不应当追究刑事责任；□取保候审/监视居住；□人民检察院不批准逮捕；</w:t>
      </w:r>
    </w:p>
    <w:p>
      <w:r>
        <w:rPr>
          <w:rFonts w:ascii="宋体" w:hAnsi="宋体" w:eastAsia="宋体"/>
          <w:b w:val="0"/>
          <w:sz w:val="22"/>
        </w:rPr>
        <w:t>□案件撤销/终止侦查），根据《中华人民共和国刑事诉讼法》之规定，决定予以释放。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（看守所印） 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