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93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31"/>
      </w:tblGrid>
      <w:tr>
        <w:trPr>
          <w:trHeight w:val="11775" w:hRule="atLeast"/>
        </w:trPr>
        <w:tc>
          <w:tcPr>
            <w:tcW w:w="8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ascii="宋体" w:hAnsi="宋体" w:eastAsia="宋体" w:cs="宋体" w:hint="eastAsia"/>
                <w:sz w:val="28"/>
                <w:szCs w:val="28"/>
              </w:rPr>
            </w:pPr>
            <w:r>
              <w:rPr>
                <w:rFonts w:eastAsia="宋体" w:cs="宋体" w:hint="eastAsia" w:ascii="宋体" w:hAnsi="宋体"/>
                <w:sz w:val="28"/>
                <w:szCs w:val="28"/>
              </w:rPr>
            </w:r>
          </w:p>
          <w:p>
            <w:pPr>
              <w:pStyle w:val="Normal"/>
              <w:spacing w:lineRule="exact" w:line="600"/>
              <w:jc w:val="center"/>
              <w:rPr>
                <w:rFonts w:ascii="宋体" w:hAnsi="宋体" w:eastAsia="宋体" w:cs="宋体" w:hint="eastAsia"/>
                <w:sz w:val="36"/>
                <w:szCs w:val="36"/>
              </w:rPr>
            </w:pPr>
            <w:r>
              <w:rPr>
                <w:rFonts w:ascii="宋体" w:hAnsi="宋体" w:cs="宋体" w:hint="eastAsia" w:eastAsia="宋体"/>
                <w:sz w:val="36"/>
                <w:szCs w:val="36"/>
              </w:rPr>
              <w:t>沂源县公安局</w:t>
            </w:r>
          </w:p>
          <w:p>
            <w:pPr>
              <w:pStyle w:val="Normal"/>
              <w:tabs>
                <w:tab w:val="clear" w:pos="425"/>
                <w:tab w:val="center" w:pos="4419" w:leader="none"/>
                <w:tab w:val="left" w:pos="6512" w:leader="none"/>
              </w:tabs>
              <w:spacing w:lineRule="exact" w:line="600"/>
              <w:jc w:val="center"/>
              <w:rPr>
                <w:rFonts w:ascii="方正小标宋简体;黑体" w:hAnsi="方正小标宋简体;黑体" w:eastAsia="方正小标宋简体;黑体" w:hint="eastAsia"/>
                <w:sz w:val="44"/>
                <w:szCs w:val="44"/>
              </w:rPr>
            </w:pPr>
            <w:r>
              <w:rPr>
                <w:rFonts w:ascii="方正小标宋简体;黑体" w:hAnsi="方正小标宋简体;黑体" w:hint="eastAsia" w:eastAsia="方正小标宋简体;黑体"/>
                <w:sz w:val="44"/>
                <w:szCs w:val="44"/>
              </w:rPr>
              <w:t>没收保证金决定书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600"/>
              <w:ind w:start="-154" w:end="0"/>
              <w:jc w:val="end"/>
              <w:outlineLvl w:val="0"/>
              <w:rPr>
                <w:rFonts w:ascii="仿宋_GB2312;仿宋" w:hAnsi="仿宋_GB2312;仿宋" w:hint="eastAsia"/>
              </w:rPr>
            </w:pPr>
            <w:r>
              <w:rPr>
                <w:rFonts w:hint="eastAsia"/>
              </w:rPr>
              <w:t>　　　　　　　　　　　　　　</w:t>
            </w:r>
            <w:r>
              <w:rPr>
                <w:rFonts w:hint="eastAsia"/>
              </w:rPr>
              <w:t>X</w:t>
            </w:r>
            <w:r>
              <w:rPr>
                <w:rFonts w:ascii="仿宋_GB2312;仿宋" w:hAnsi="仿宋_GB2312;仿宋" w:hint="eastAsia"/>
              </w:rPr>
              <w:t>公</w:t>
            </w:r>
            <w:r>
              <w:rPr>
                <w:rFonts w:hint="eastAsia" w:ascii="仿宋_GB2312;仿宋" w:hAnsi="仿宋_GB2312;仿宋"/>
              </w:rPr>
              <w:t>(   )</w:t>
            </w:r>
            <w:r>
              <w:rPr>
                <w:rFonts w:ascii="仿宋_GB2312;仿宋" w:hAnsi="仿宋_GB2312;仿宋" w:hint="eastAsia"/>
              </w:rPr>
              <w:t>行没决字</w:t>
            </w:r>
            <w:r>
              <w:rPr>
                <w:rFonts w:ascii="仿宋_GB2312;仿宋" w:hAnsi="仿宋_GB2312;仿宋" w:cs="仿宋_GB2312;仿宋" w:hint="eastAsia"/>
              </w:rPr>
              <w:t>〔    〕</w:t>
            </w:r>
            <w:r>
              <w:rPr>
                <w:rFonts w:ascii="仿宋_GB2312;仿宋" w:hAnsi="仿宋_GB2312;仿宋" w:hint="eastAsia"/>
              </w:rPr>
              <w:t xml:space="preserve">   号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600"/>
              <w:outlineLvl w:val="0"/>
              <w:rPr>
                <w:rFonts w:ascii="仿宋_GB2312;仿宋" w:hAnsi="仿宋_GB2312;仿宋" w:hint="eastAsia"/>
              </w:rPr>
            </w:pPr>
            <w:r>
              <w:rPr>
                <w:rFonts w:hint="eastAsia" w:ascii="仿宋_GB2312;仿宋" w:hAnsi="仿宋_GB2312;仿宋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ind w:firstLineChars="200" w:startChars="0" w:start="0" w:endChars="0" w:end="0"/>
              <w:outlineLvl w:val="0"/>
              <w:rPr>
                <w:rFonts w:hint="eastAsia"/>
              </w:rPr>
            </w:pPr>
            <w:r>
              <w:rPr>
                <w:rFonts w:hint="eastAsia"/>
              </w:rPr>
              <w:t>因被暂缓执行行政拘留人</w:t>
            </w:r>
            <w:r>
              <w:rPr>
                <w:rFonts w:hint="eastAsia"/>
                <w:u w:val="single"/>
              </w:rPr>
              <w:t xml:space="preserve">                                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outlineLvl w:val="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逃避行政拘留处罚的执行，根据《中华人民共和国治安管理处罚法》第一百一十条之规定，决定没收保证金交纳人</w:t>
            </w:r>
            <w:r>
              <w:rPr>
                <w:rFonts w:hint="eastAsia"/>
                <w:u w:val="single"/>
              </w:rPr>
              <w:t xml:space="preserve">　　　         　　 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outlineLvl w:val="0"/>
              <w:rPr>
                <w:rFonts w:hint="eastAsia"/>
              </w:rPr>
            </w:pPr>
            <w:r>
              <w:rPr>
                <w:rFonts w:hint="eastAsia"/>
              </w:rPr>
              <w:t>于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 xml:space="preserve">日交来的保证金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ascii="仿宋_GB2312;仿宋" w:hAnsi="仿宋_GB2312;仿宋" w:hint="eastAsia"/>
                <w:u w:val="single"/>
              </w:rPr>
              <w:t xml:space="preserve">            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rFonts w:hint="eastAsia"/>
              </w:rPr>
              <w:t>元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outlineLvl w:val="0"/>
              <w:rPr>
                <w:rFonts w:hint="eastAsia"/>
              </w:rPr>
            </w:pPr>
            <w:r>
              <w:rPr>
                <w:rFonts w:hint="eastAsia"/>
              </w:rPr>
              <w:t>（大写</w:t>
            </w:r>
            <w:r>
              <w:rPr>
                <w:rFonts w:hint="eastAsia"/>
                <w:u w:val="single"/>
              </w:rPr>
              <w:t>　　　 　　                               ）</w:t>
            </w:r>
            <w:r>
              <w:rPr>
                <w:rFonts w:hint="eastAsia"/>
              </w:rPr>
              <w:t>。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ind w:firstLine="585" w:end="0"/>
              <w:outlineLvl w:val="0"/>
              <w:rPr>
                <w:rFonts w:hint="eastAsia"/>
              </w:rPr>
            </w:pPr>
            <w:r>
              <w:rPr>
                <w:rFonts w:hint="eastAsia"/>
              </w:rPr>
              <w:t>如不服本决定，可以在收到本决定书之日起六十日内向</w:t>
            </w:r>
            <w:r>
              <w:rPr>
                <w:rFonts w:hint="eastAsia"/>
                <w:u w:val="single"/>
              </w:rPr>
              <w:t xml:space="preserve">        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outlineLvl w:val="0"/>
              <w:rPr>
                <w:rFonts w:hint="eastAsia"/>
              </w:rPr>
            </w:pPr>
            <w:r>
              <w:rPr>
                <w:rFonts w:hint="eastAsia"/>
                <w:u w:val="single"/>
              </w:rPr>
              <w:t xml:space="preserve">                                 </w:t>
            </w:r>
            <w:r>
              <w:rPr>
                <w:rFonts w:hint="eastAsia"/>
              </w:rPr>
              <w:t>申请行政复议或者在三个月内依法向</w:t>
            </w:r>
            <w:r>
              <w:rPr>
                <w:rFonts w:hint="eastAsia"/>
                <w:u w:val="single"/>
              </w:rPr>
              <w:t xml:space="preserve">                       </w:t>
            </w:r>
            <w:r>
              <w:rPr>
                <w:rFonts w:hint="eastAsia"/>
              </w:rPr>
              <w:t>人民法院提起行政诉讼。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ind w:start="-154" w:end="0"/>
              <w:jc w:val="center"/>
              <w:outlineLvl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ind w:start="-154" w:end="0"/>
              <w:jc w:val="center"/>
              <w:outlineLvl w:val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ind w:start="-154" w:end="0"/>
              <w:jc w:val="center"/>
              <w:outlineLvl w:val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ind w:start="-154" w:end="0"/>
              <w:jc w:val="center"/>
              <w:outlineLvl w:val="0"/>
              <w:rPr>
                <w:rFonts w:hint="eastAsia"/>
              </w:rPr>
            </w:pPr>
            <w:r>
              <w:rPr>
                <w:rFonts w:hint="eastAsia"/>
              </w:rPr>
              <w:t xml:space="preserve">　　　　　　　　　　　　　　  公安机关（印）        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ind w:start="-154" w:end="0"/>
              <w:outlineLvl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</w:t>
            </w:r>
            <w:r>
              <w:rPr>
                <w:rFonts w:hint="eastAsia"/>
              </w:rPr>
              <w:t xml:space="preserve">年  月  日        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ind w:start="-154" w:end="0"/>
              <w:outlineLvl w:val="0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ind w:start="-154" w:end="0"/>
              <w:outlineLvl w:val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ind w:start="-154" w:end="0"/>
              <w:outlineLvl w:val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ind w:firstLineChars="50" w:startChars="-52" w:endChars="0" w:end="0"/>
              <w:outlineLvl w:val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ind w:firstLineChars="50" w:startChars="-52" w:endChars="0" w:end="0"/>
              <w:outlineLvl w:val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outlineLvl w:val="0"/>
              <w:rPr>
                <w:rFonts w:hint="eastAsia"/>
              </w:rPr>
            </w:pPr>
            <w:r>
              <w:rPr>
                <w:rFonts w:hint="eastAsia"/>
              </w:rPr>
              <w:t xml:space="preserve">保证金交纳人 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ind w:firstLineChars="641" w:startChars="-52" w:endChars="0" w:end="0"/>
              <w:outlineLvl w:val="0"/>
              <w:rPr>
                <w:rFonts w:hint="eastAsia"/>
              </w:rPr>
            </w:pPr>
            <w:r>
              <w:rPr>
                <w:rFonts w:hint="eastAsia"/>
              </w:rPr>
              <w:t>年  月  日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ind w:firstLineChars="249" w:startChars="-52" w:endChars="0" w:end="0"/>
              <w:outlineLvl w:val="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</w:tbl>
    <w:p>
      <w:pPr>
        <w:pStyle w:val="Normal"/>
        <w:spacing w:lineRule="exact" w:line="440"/>
        <w:ind w:firstLineChars="200" w:startChars="0" w:start="0" w:endChars="0" w:end="0"/>
        <w:rPr>
          <w:rFonts w:ascii="仿宋_GB2312;仿宋" w:hAnsi="仿宋_GB2312;仿宋" w:hint="eastAsia"/>
          <w:sz w:val="28"/>
          <w:szCs w:val="28"/>
        </w:rPr>
      </w:pPr>
      <w:r>
        <w:rPr>
          <w:rFonts w:ascii="仿宋_GB2312;仿宋" w:hAnsi="仿宋_GB2312;仿宋" w:hint="eastAsia"/>
          <w:sz w:val="28"/>
          <w:szCs w:val="28"/>
        </w:rPr>
        <w:t xml:space="preserve">一式两份，一份交保证金交纳人，一份附卷。 </w:t>
      </w:r>
    </w:p>
    <w:p>
      <w:pPr>
        <w:pStyle w:val="BodyText"/>
        <w:spacing w:lineRule="exact" w:line="440"/>
        <w:ind w:firstLineChars="100" w:startChars="0" w:start="0" w:endChars="0" w:end="0"/>
        <w:rPr>
          <w:rFonts w:ascii="仿宋_GB2312;仿宋" w:hAnsi="仿宋_GB2312;仿宋"/>
        </w:rPr>
      </w:pPr>
      <w:r>
        <w:rPr>
          <w:rFonts w:ascii="仿宋_GB2312;仿宋" w:hAnsi="仿宋_GB2312;仿宋" w:hint="eastAsia"/>
        </w:rPr>
        <w:t xml:space="preserve">                         </w:t>
      </w:r>
      <w:r>
        <w:br w:type="page"/>
      </w:r>
    </w:p>
    <w:p>
      <w:pPr>
        <w:pStyle w:val="BodyText"/>
        <w:spacing w:lineRule="exact" w:line="440"/>
        <w:rPr>
          <w:rFonts w:ascii="黑体" w:hAnsi="黑体" w:eastAsia="黑体" w:hint="eastAsia"/>
        </w:rPr>
      </w:pPr>
      <w:r>
        <w:rPr>
          <w:rFonts w:eastAsia="黑体" w:hint="eastAsia" w:ascii="黑体" w:hAnsi="黑体"/>
        </w:rPr>
      </w:r>
      <w:bookmarkStart w:id="31" w:name="式样二十九"/>
      <w:bookmarkEnd w:id="31"/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