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900" w:type="dxa"/>
        <w:jc w:val="start"/>
        <w:tblInd w:w="139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00"/>
      </w:tblGrid>
      <w:tr>
        <w:trPr>
          <w:trHeight w:val="12734" w:hRule="atLeast"/>
        </w:trPr>
        <w:tc>
          <w:tcPr>
            <w:tcW w:w="8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60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>
            <w:pPr>
              <w:pStyle w:val="Normal"/>
              <w:spacing w:lineRule="exact" w:line="600"/>
              <w:jc w:val="center"/>
              <w:rPr>
                <w:rFonts w:ascii="宋体" w:hAnsi="宋体" w:eastAsia="宋体" w:cs="宋体" w:hint="eastAsia"/>
                <w:sz w:val="36"/>
                <w:szCs w:val="36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ind w:start="-49" w:end="0"/>
              <w:jc w:val="center"/>
              <w:rPr>
                <w:rFonts w:ascii="方正小标宋简体;黑体" w:hAnsi="方正小标宋简体;黑体" w:eastAsia="方正小标宋简体;黑体" w:hint="eastAsia"/>
                <w:sz w:val="44"/>
                <w:szCs w:val="44"/>
              </w:rPr>
            </w:pPr>
            <w:r>
              <w:rPr>
                <w:rFonts w:ascii="方正小标宋简体;黑体" w:hAnsi="方正小标宋简体;黑体" w:hint="eastAsia" w:eastAsia="方正小标宋简体;黑体"/>
                <w:sz w:val="44"/>
                <w:szCs w:val="44"/>
              </w:rPr>
              <w:t>行政强制执行决定书</w:t>
            </w:r>
          </w:p>
          <w:p>
            <w:pPr>
              <w:pStyle w:val="Normal"/>
              <w:spacing w:lineRule="exact" w:line="600"/>
              <w:jc w:val="center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黑体" w:hAnsi="黑体" w:cs="宋体" w:hint="eastAsia" w:eastAsia="黑体"/>
                <w:sz w:val="36"/>
                <w:szCs w:val="36"/>
              </w:rPr>
              <w:t xml:space="preserve">                           </w:t>
            </w:r>
            <w:r>
              <w:rPr>
                <w:szCs w:val="32"/>
              </w:rPr>
              <w:t>X</w:t>
            </w:r>
            <w:r>
              <w:rPr>
                <w:rFonts w:ascii="仿宋_GB2312;仿宋" w:hAnsi="仿宋_GB2312;仿宋" w:hint="eastAsia"/>
                <w:szCs w:val="32"/>
              </w:rPr>
              <w:t>公（   ）强执决字〔   〕  号</w:t>
            </w:r>
          </w:p>
          <w:p>
            <w:pPr>
              <w:pStyle w:val="Normal"/>
              <w:spacing w:lineRule="exact" w:line="440"/>
              <w:jc w:val="center"/>
              <w:rPr>
                <w:rFonts w:ascii="黑体" w:hAnsi="黑体" w:eastAsia="黑体" w:cs="宋体" w:hint="eastAsia"/>
                <w:sz w:val="36"/>
                <w:szCs w:val="36"/>
              </w:rPr>
            </w:pPr>
            <w:r>
              <w:rPr>
                <w:rFonts w:eastAsia="黑体" w:cs="宋体" w:hint="eastAsia" w:ascii="黑体" w:hAnsi="黑体"/>
                <w:sz w:val="36"/>
                <w:szCs w:val="36"/>
              </w:rPr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ascii="仿宋_GB2312;仿宋" w:hAnsi="仿宋_GB2312;仿宋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>被处理人姓名或者单位名称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>身份证件种类及号码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　　</w:t>
            </w:r>
            <w:r>
              <w:rPr>
                <w:rFonts w:ascii="仿宋_GB2312;仿宋" w:hAnsi="仿宋_GB2312;仿宋" w:hint="eastAsia"/>
                <w:szCs w:val="32"/>
              </w:rPr>
              <w:t>单位法定代表人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地址及联系方式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</w:t>
            </w:r>
            <w:r>
              <w:rPr>
                <w:rFonts w:ascii="仿宋_GB2312;仿宋" w:hAnsi="仿宋_GB2312;仿宋" w:hint="eastAsia"/>
                <w:sz w:val="44"/>
                <w:szCs w:val="44"/>
                <w:u w:val="single"/>
              </w:rPr>
              <w:t xml:space="preserve">       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</w:t>
            </w:r>
            <w:r>
              <w:rPr>
                <w:rFonts w:ascii="仿宋_GB2312;仿宋" w:hAnsi="仿宋_GB2312;仿宋" w:cs="宋体" w:hint="eastAsia"/>
                <w:szCs w:val="32"/>
                <w:u w:val="single"/>
              </w:rPr>
              <w:t xml:space="preserve">            </w:t>
            </w:r>
            <w:r>
              <w:rPr>
                <w:rFonts w:ascii="仿宋_GB2312;仿宋" w:hAnsi="仿宋_GB2312;仿宋" w:cs="宋体" w:hint="eastAsia"/>
                <w:szCs w:val="32"/>
              </w:rPr>
              <w:t xml:space="preserve">   </w:t>
            </w:r>
          </w:p>
          <w:p>
            <w:pPr>
              <w:pStyle w:val="Normal"/>
              <w:spacing w:lineRule="exact" w:line="440"/>
              <w:ind w:firstLineChars="50" w:startChars="157" w:endChars="0" w:end="0"/>
              <w:jc w:val="start"/>
              <w:rPr>
                <w:rFonts w:ascii="仿宋_GB2312;仿宋" w:hAnsi="仿宋_GB2312;仿宋" w:cs="宋体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>因你（单位）经催告无正当理由逾期未履行公安机关于</w:t>
            </w:r>
            <w:r>
              <w:rPr>
                <w:rFonts w:ascii="仿宋_GB2312;仿宋" w:hAnsi="仿宋_GB2312;仿宋" w:cs="宋体" w:hint="eastAsia"/>
                <w:szCs w:val="32"/>
                <w:u w:val="single"/>
              </w:rPr>
              <w:t xml:space="preserve">      </w:t>
            </w:r>
            <w:r>
              <w:rPr>
                <w:rFonts w:ascii="仿宋_GB2312;仿宋" w:hAnsi="仿宋_GB2312;仿宋" w:cs="宋体" w:hint="eastAsia"/>
                <w:szCs w:val="32"/>
              </w:rPr>
              <w:t>年</w:t>
            </w:r>
            <w:r>
              <w:rPr>
                <w:rFonts w:ascii="仿宋_GB2312;仿宋" w:hAnsi="仿宋_GB2312;仿宋" w:cs="宋体" w:hint="eastAsia"/>
                <w:szCs w:val="32"/>
                <w:u w:val="single"/>
              </w:rPr>
              <w:t xml:space="preserve">  </w:t>
            </w:r>
          </w:p>
          <w:p>
            <w:pPr>
              <w:pStyle w:val="Normal"/>
              <w:spacing w:lineRule="exact" w:line="440"/>
              <w:jc w:val="start"/>
              <w:rPr>
                <w:rFonts w:ascii="仿宋_GB2312;仿宋" w:hAnsi="仿宋_GB2312;仿宋" w:cs="宋体" w:hint="eastAsia"/>
                <w:szCs w:val="32"/>
              </w:rPr>
            </w:pPr>
            <w:r>
              <w:rPr>
                <w:rFonts w:ascii="仿宋_GB2312;仿宋" w:hAnsi="仿宋_GB2312;仿宋" w:cs="宋体" w:hint="eastAsia"/>
                <w:szCs w:val="32"/>
                <w:u w:val="single"/>
              </w:rPr>
              <w:t xml:space="preserve">    </w:t>
            </w:r>
            <w:r>
              <w:rPr>
                <w:rFonts w:ascii="仿宋_GB2312;仿宋" w:hAnsi="仿宋_GB2312;仿宋" w:cs="宋体" w:hint="eastAsia"/>
                <w:szCs w:val="32"/>
              </w:rPr>
              <w:t>月</w:t>
            </w:r>
            <w:r>
              <w:rPr>
                <w:rFonts w:ascii="仿宋_GB2312;仿宋" w:hAnsi="仿宋_GB2312;仿宋" w:cs="宋体" w:hint="eastAsia"/>
                <w:szCs w:val="32"/>
                <w:u w:val="single"/>
              </w:rPr>
              <w:t xml:space="preserve">    </w:t>
            </w:r>
            <w:r>
              <w:rPr>
                <w:rFonts w:ascii="仿宋_GB2312;仿宋" w:hAnsi="仿宋_GB2312;仿宋" w:cs="宋体" w:hint="eastAsia"/>
                <w:szCs w:val="32"/>
              </w:rPr>
              <w:t>日作出的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>行政决定（决定书文号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>），</w:t>
            </w:r>
            <w:r>
              <w:rPr>
                <w:rFonts w:ascii="仿宋_GB2312;仿宋" w:hAnsi="仿宋_GB2312;仿宋"/>
                <w:szCs w:val="32"/>
              </w:rPr>
              <w:br/>
            </w:r>
            <w:r>
              <w:rPr>
                <w:rFonts w:ascii="仿宋_GB2312;仿宋" w:hAnsi="仿宋_GB2312;仿宋" w:hint="eastAsia"/>
                <w:szCs w:val="32"/>
              </w:rPr>
              <w:t>根据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>《中华人民共和国消防法》第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</w:t>
            </w:r>
            <w:r>
              <w:rPr>
                <w:rFonts w:ascii="仿宋_GB2312;仿宋" w:hAnsi="仿宋_GB2312;仿宋" w:hint="eastAsia"/>
                <w:szCs w:val="32"/>
              </w:rPr>
              <w:t>条第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</w:t>
            </w:r>
            <w:r>
              <w:rPr>
                <w:rFonts w:ascii="仿宋_GB2312;仿宋" w:hAnsi="仿宋_GB2312;仿宋" w:hint="eastAsia"/>
                <w:szCs w:val="32"/>
              </w:rPr>
              <w:t>款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ascii="仿宋_GB2312;仿宋" w:hAnsi="仿宋_GB2312;仿宋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>□</w:t>
            </w:r>
            <w:r>
              <w:rPr>
                <w:rFonts w:ascii="仿宋_GB2312;仿宋" w:hAnsi="仿宋_GB2312;仿宋" w:hint="eastAsia"/>
                <w:szCs w:val="32"/>
              </w:rPr>
              <w:t>其他法律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</w:t>
            </w:r>
          </w:p>
          <w:p>
            <w:pPr>
              <w:pStyle w:val="Normal"/>
              <w:spacing w:lineRule="exact" w:line="440"/>
              <w:jc w:val="start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之规定，决定于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</w:t>
            </w:r>
            <w:r>
              <w:rPr>
                <w:rFonts w:ascii="仿宋_GB2312;仿宋" w:hAnsi="仿宋_GB2312;仿宋" w:hint="eastAsia"/>
                <w:szCs w:val="32"/>
              </w:rPr>
              <w:t>年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</w:t>
            </w:r>
            <w:r>
              <w:rPr>
                <w:rFonts w:ascii="仿宋_GB2312;仿宋" w:hAnsi="仿宋_GB2312;仿宋" w:hint="eastAsia"/>
                <w:szCs w:val="32"/>
              </w:rPr>
              <w:t>月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</w:t>
            </w:r>
            <w:r>
              <w:rPr>
                <w:rFonts w:ascii="仿宋_GB2312;仿宋" w:hAnsi="仿宋_GB2312;仿宋" w:hint="eastAsia"/>
                <w:szCs w:val="32"/>
              </w:rPr>
              <w:t>日强制执行。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强制执行方式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>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jc w:val="start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根据《中华人民共和国行政强制法》之规定，强制执行的费用由你（单位）承担。</w:t>
            </w:r>
          </w:p>
          <w:p>
            <w:pPr>
              <w:pStyle w:val="Normal"/>
              <w:spacing w:lineRule="exact" w:line="440"/>
              <w:ind w:firstLineChars="200" w:startChars="0" w:start="0" w:endChars="0" w:end="0"/>
              <w:rPr>
                <w:rFonts w:ascii="仿宋_GB2312;仿宋" w:hAnsi="仿宋_GB2312;仿宋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>如不服本决定，可以在收到本决定书之日起六十日内向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 xml:space="preserve"> </w:t>
            </w:r>
            <w:r>
              <w:rPr>
                <w:rFonts w:ascii="仿宋_GB2312;仿宋" w:hAnsi="仿宋_GB2312;仿宋" w:hint="eastAsia"/>
                <w:szCs w:val="32"/>
              </w:rPr>
              <w:t>申请行政复议或者在三个月内依法向</w:t>
            </w:r>
            <w:r>
              <w:rPr>
                <w:rFonts w:ascii="仿宋_GB2312;仿宋" w:hAnsi="仿宋_GB2312;仿宋" w:hint="eastAsia"/>
                <w:szCs w:val="32"/>
                <w:u w:val="single"/>
              </w:rPr>
              <w:t xml:space="preserve">                         </w:t>
            </w:r>
            <w:r>
              <w:rPr>
                <w:rFonts w:ascii="仿宋_GB2312;仿宋" w:hAnsi="仿宋_GB2312;仿宋" w:hint="eastAsia"/>
                <w:szCs w:val="32"/>
              </w:rPr>
              <w:t>人民法院提起行政诉讼。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hint="eastAsia" w:ascii="仿宋_GB2312;仿宋" w:hAnsi="仿宋_GB2312;仿宋"/>
                <w:szCs w:val="32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  <w:u w:val="single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                           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 xml:space="preserve">公安机关（印）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 xml:space="preserve">                                       </w:t>
            </w:r>
            <w:r>
              <w:rPr>
                <w:rFonts w:ascii="仿宋_GB2312;仿宋" w:hAnsi="仿宋_GB2312;仿宋" w:hint="eastAsia"/>
                <w:szCs w:val="32"/>
              </w:rPr>
              <w:t xml:space="preserve">年  月  日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被执行人</w:t>
            </w:r>
          </w:p>
          <w:p>
            <w:pPr>
              <w:pStyle w:val="Normal"/>
              <w:spacing w:lineRule="exact" w:line="440"/>
              <w:ind w:firstLineChars="445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ascii="仿宋_GB2312;仿宋" w:hAnsi="仿宋_GB2312;仿宋" w:hint="eastAsia"/>
                <w:szCs w:val="32"/>
              </w:rPr>
              <w:t>年  月  日</w:t>
            </w:r>
          </w:p>
          <w:p>
            <w:pPr>
              <w:pStyle w:val="Normal"/>
              <w:spacing w:lineRule="exact" w:line="440"/>
              <w:ind w:firstLineChars="150" w:startChars="0" w:start="0" w:endChars="0" w:end="0"/>
              <w:rPr>
                <w:rFonts w:ascii="仿宋_GB2312;仿宋" w:hAnsi="仿宋_GB2312;仿宋" w:hint="eastAsia"/>
                <w:szCs w:val="32"/>
              </w:rPr>
            </w:pPr>
            <w:r>
              <w:rPr>
                <w:rFonts w:hint="eastAsia" w:ascii="仿宋_GB2312;仿宋" w:hAnsi="仿宋_GB2312;仿宋"/>
                <w:szCs w:val="32"/>
              </w:rPr>
            </w:r>
          </w:p>
        </w:tc>
      </w:tr>
    </w:tbl>
    <w:p>
      <w:pPr>
        <w:pStyle w:val="Normal"/>
        <w:spacing w:lineRule="exact" w:line="440"/>
        <w:ind w:firstLineChars="200" w:startChars="0" w:start="0" w:endChars="0" w:end="0"/>
        <w:rPr>
          <w:rFonts w:ascii="仿宋_GB2312;仿宋" w:hAnsi="仿宋_GB2312;仿宋" w:hint="eastAsia"/>
          <w:sz w:val="28"/>
          <w:szCs w:val="28"/>
        </w:rPr>
      </w:pPr>
      <w:r>
        <w:rPr>
          <w:rFonts w:ascii="仿宋_GB2312;仿宋" w:hAnsi="仿宋_GB2312;仿宋" w:hint="eastAsia"/>
          <w:sz w:val="28"/>
          <w:szCs w:val="28"/>
        </w:rPr>
        <w:t>一式两份，一份交被执行人，一份附卷。</w:t>
      </w:r>
    </w:p>
    <w:p>
      <w:pPr>
        <w:pStyle w:val="Normal"/>
        <w:spacing w:lineRule="exact" w:line="440"/>
        <w:rPr>
          <w:rFonts w:ascii="黑体" w:hAnsi="黑体" w:eastAsia="黑体" w:hint="eastAsia"/>
          <w:sz w:val="28"/>
          <w:szCs w:val="28"/>
        </w:rPr>
      </w:pPr>
      <w:r>
        <w:rPr>
          <w:rFonts w:eastAsia="黑体" w:hint="eastAsia" w:ascii="黑体" w:hAnsi="黑体"/>
          <w:sz w:val="28"/>
          <w:szCs w:val="28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