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不予立案通知书</w:t>
      </w:r>
    </w:p>
    <w:p>
      <w:r>
        <w:rPr>
          <w:rFonts w:ascii="宋体" w:hAnsi="宋体" w:eastAsia="宋体"/>
        </w:rPr>
        <w:t>×公（    ）不立字〔    〕   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你（单位）于      年    月    日报称的                              一案，</w:t>
      </w:r>
    </w:p>
    <w:p>
      <w:r>
        <w:rPr>
          <w:rFonts w:ascii="宋体" w:hAnsi="宋体" w:eastAsia="宋体"/>
        </w:rPr>
        <w:t>我局经审查认为                                          ，</w:t>
      </w:r>
    </w:p>
    <w:p>
      <w:r>
        <w:rPr>
          <w:rFonts w:ascii="宋体" w:hAnsi="宋体" w:eastAsia="宋体"/>
        </w:rPr>
        <w:t>根据《中华人民共和国刑事诉讼法》第一百一十二条之规定，决定不予立案。</w:t>
      </w:r>
    </w:p>
    <w:p>
      <w:r>
        <w:rPr>
          <w:rFonts w:ascii="宋体" w:hAnsi="宋体" w:eastAsia="宋体"/>
        </w:rPr>
        <w:t>如不服本决定，可以在收到本通知书之日起三日以内向              申请复议。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