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扣押决定书</w:t>
      </w:r>
    </w:p>
    <w:p>
      <w:r>
        <w:rPr>
          <w:rFonts w:ascii="宋体" w:hAnsi="宋体" w:eastAsia="宋体"/>
        </w:rPr>
        <w:t>×公（    ）扣字〔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我局在侦查                            一案中，根据《中华人民共和国刑事诉讼法》</w:t>
      </w:r>
    </w:p>
    <w:p>
      <w:r>
        <w:rPr>
          <w:rFonts w:ascii="宋体" w:hAnsi="宋体" w:eastAsia="宋体"/>
        </w:rPr>
        <w:t>第一百四十一条之规定，决定扣押下列物品、文件：</w:t>
      </w:r>
    </w:p>
    <w:p>
      <w:r>
        <w:rPr>
          <w:rFonts w:ascii="宋体" w:hAnsi="宋体" w:eastAsia="宋体"/>
        </w:rPr>
        <w:t>编号 名称 数量 特征 备注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