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搜查证</w:t>
      </w:r>
    </w:p>
    <w:p>
      <w:r>
        <w:rPr>
          <w:rFonts w:ascii="宋体" w:hAnsi="宋体" w:eastAsia="宋体"/>
        </w:rPr>
        <w:t>×公（    ）搜字〔    〕    号</w:t>
      </w:r>
    </w:p>
    <w:p>
      <w:r>
        <w:rPr>
          <w:rFonts w:ascii="宋体" w:hAnsi="宋体" w:eastAsia="宋体"/>
        </w:rPr>
        <w:t>根据《中华人民共和国刑事诉讼法》第一百三十六条之规定，兹派我局民警</w:t>
      </w:r>
    </w:p>
    <w:p>
      <w:r>
        <w:rPr>
          <w:rFonts w:ascii="宋体" w:hAnsi="宋体" w:eastAsia="宋体"/>
        </w:rPr>
        <w:t xml:space="preserve">            对犯罪嫌疑人            的（写明人身、物品、住处和其他有关地方）</w:t>
      </w:r>
    </w:p>
    <w:p>
      <w:r>
        <w:rPr>
          <w:rFonts w:ascii="宋体" w:hAnsi="宋体" w:eastAsia="宋体"/>
        </w:rPr>
        <w:t>进行搜查。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