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838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838"/>
      </w:tblGrid>
      <w:tr>
        <w:trPr>
          <w:trHeight w:val="4391" w:hRule="atLeast"/>
        </w:trPr>
        <w:tc>
          <w:tcPr>
            <w:tcW w:w="8838" w:type="dxa"/>
            <w:vAlign w:val="top"/>
            <w:tcBorders>
              <w:bottom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06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138"/>
              <w:spacing w:before="104" w:line="223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4"/>
              </w:rPr>
              <w:t>暂缓执行行政拘留决定书</w:t>
            </w:r>
          </w:p>
          <w:p>
            <w:pPr>
              <w:pStyle w:val="TableText"/>
              <w:ind w:left="4170"/>
              <w:spacing w:before="184" w:line="228" w:lineRule="auto"/>
              <w:rPr/>
            </w:pPr>
            <w:r>
              <w:rPr>
                <w:spacing w:val="-11"/>
              </w:rPr>
              <w:t>源公（经）缓拘决字〔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 w:right="84" w:firstLine="600"/>
              <w:spacing w:before="101" w:line="262" w:lineRule="auto"/>
              <w:jc w:val="both"/>
              <w:rPr/>
            </w:pPr>
            <w:r>
              <w:rPr>
                <w:spacing w:val="-11"/>
              </w:rPr>
              <w:t>经审查，根据《中华人民共和国治安管理处罚法》</w:t>
            </w:r>
            <w:r>
              <w:rPr>
                <w:spacing w:val="-12"/>
              </w:rPr>
              <w:t>第一百零七</w:t>
            </w:r>
            <w:r>
              <w:rPr>
                <w:spacing w:val="-14"/>
              </w:rPr>
              <w:t>条之规定</w:t>
            </w:r>
            <w:r>
              <w:rPr>
                <w:rFonts w:ascii="Arial" w:hAnsi="Arial" w:eastAsia="Arial" w:cs="Arial"/>
                <w:spacing w:val="-14"/>
              </w:rPr>
              <w:t>,</w:t>
            </w:r>
            <w:r>
              <w:rPr>
                <w:spacing w:val="-14"/>
              </w:rPr>
              <w:t>决定对被处罚人（姓名、性别、年龄、出生日期、身份证</w:t>
            </w:r>
            <w:r>
              <w:rPr>
                <w:spacing w:val="-10"/>
              </w:rPr>
              <w:t>件种类及号码、现住址）</w:t>
            </w:r>
            <w:r>
              <w:rPr>
                <w:u w:val="single" w:color="auto"/>
                <w:spacing w:val="-10"/>
              </w:rPr>
              <w:t xml:space="preserve">                </w:t>
            </w:r>
            <w:r>
              <w:rPr>
                <w:u w:val="single" w:color="auto"/>
                <w:spacing w:val="-11"/>
              </w:rPr>
              <w:t xml:space="preserve">                     </w:t>
            </w:r>
          </w:p>
        </w:tc>
      </w:tr>
      <w:tr>
        <w:trPr>
          <w:trHeight w:val="431" w:hRule="atLeast"/>
        </w:trPr>
        <w:tc>
          <w:tcPr>
            <w:tcW w:w="88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27" w:hRule="atLeast"/>
        </w:trPr>
        <w:tc>
          <w:tcPr>
            <w:tcW w:w="883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7"/>
              <w:spacing w:before="123" w:line="226" w:lineRule="auto"/>
              <w:rPr/>
            </w:pPr>
            <w:r>
              <w:rPr>
                <w:spacing w:val="-13"/>
              </w:rPr>
              <w:t>暂缓执行行政拘留（原决定书文号</w:t>
            </w:r>
            <w:r>
              <w:rPr>
                <w:u w:val="single" w:color="auto"/>
                <w:spacing w:val="-13"/>
              </w:rPr>
              <w:t xml:space="preserve">                         </w:t>
            </w:r>
            <w:r>
              <w:rPr>
                <w:spacing w:val="-13"/>
              </w:rPr>
              <w:t>）。</w:t>
            </w:r>
          </w:p>
          <w:p>
            <w:pPr>
              <w:pStyle w:val="TableText"/>
              <w:ind w:left="722"/>
              <w:spacing w:before="58" w:line="225" w:lineRule="auto"/>
              <w:rPr/>
            </w:pPr>
            <w:r>
              <w:rPr>
                <w:spacing w:val="-12"/>
              </w:rPr>
              <w:t>在行政拘留处罚决定暂缓执行期间，被处罚人</w:t>
            </w:r>
            <w:r>
              <w:rPr>
                <w:spacing w:val="-13"/>
              </w:rPr>
              <w:t>应当遵守下列规</w:t>
            </w:r>
          </w:p>
          <w:p>
            <w:pPr>
              <w:pStyle w:val="TableText"/>
              <w:ind w:left="136"/>
              <w:spacing w:before="62" w:line="236" w:lineRule="auto"/>
              <w:rPr/>
            </w:pPr>
            <w:r>
              <w:rPr>
                <w:spacing w:val="-10"/>
              </w:rPr>
              <w:t>定：</w:t>
            </w:r>
          </w:p>
          <w:p>
            <w:pPr>
              <w:pStyle w:val="TableText"/>
              <w:ind w:left="763"/>
              <w:spacing w:before="44" w:line="227" w:lineRule="auto"/>
              <w:rPr/>
            </w:pPr>
            <w:r>
              <w:rPr>
                <w:spacing w:val="-14"/>
              </w:rPr>
              <w:t>（一）未经决定机关批准不得离开所居住的市、县；</w:t>
            </w:r>
          </w:p>
          <w:p>
            <w:pPr>
              <w:pStyle w:val="TableText"/>
              <w:ind w:left="162" w:right="84" w:firstLine="600"/>
              <w:spacing w:before="58" w:line="262" w:lineRule="auto"/>
              <w:rPr/>
            </w:pPr>
            <w:r>
              <w:rPr>
                <w:spacing w:val="-14"/>
              </w:rPr>
              <w:t>（二）住址、工作单位和联系方式发生变动</w:t>
            </w:r>
            <w:r>
              <w:rPr>
                <w:spacing w:val="-15"/>
              </w:rPr>
              <w:t>的，在二十四小时</w:t>
            </w:r>
            <w:r>
              <w:rPr>
                <w:spacing w:val="-16"/>
              </w:rPr>
              <w:t>以内向决定机关报告；</w:t>
            </w:r>
          </w:p>
          <w:p>
            <w:pPr>
              <w:pStyle w:val="TableText"/>
              <w:ind w:left="134" w:right="84" w:firstLine="628"/>
              <w:spacing w:before="3" w:line="260" w:lineRule="auto"/>
              <w:rPr/>
            </w:pPr>
            <w:r>
              <w:rPr>
                <w:spacing w:val="-14"/>
              </w:rPr>
              <w:t>（三）在行政复议和行政诉讼中不得干扰证</w:t>
            </w:r>
            <w:r>
              <w:rPr>
                <w:spacing w:val="-15"/>
              </w:rPr>
              <w:t>人作证、伪造证据</w:t>
            </w:r>
            <w:r>
              <w:rPr>
                <w:spacing w:val="-12"/>
              </w:rPr>
              <w:t>或者串供；</w:t>
            </w:r>
          </w:p>
          <w:p>
            <w:pPr>
              <w:pStyle w:val="TableText"/>
              <w:ind w:left="763"/>
              <w:spacing w:before="3" w:line="226" w:lineRule="auto"/>
              <w:rPr/>
            </w:pPr>
            <w:r>
              <w:rPr>
                <w:spacing w:val="-14"/>
              </w:rPr>
              <w:t>（四）不得逃避、拒绝或者阻碍处罚的执行。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96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50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2" w:line="229" w:lineRule="auto"/>
              <w:rPr/>
            </w:pPr>
            <w:r>
              <w:rPr>
                <w:spacing w:val="-11"/>
              </w:rPr>
              <w:t>被处罚人</w:t>
            </w:r>
          </w:p>
          <w:p>
            <w:pPr>
              <w:pStyle w:val="TableText"/>
              <w:ind w:left="1305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6"/>
        <w:spacing w:before="110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一式三份，被处罚人和拘留所各一份，一份</w:t>
      </w:r>
      <w:r>
        <w:rPr>
          <w:rFonts w:ascii="FangSong" w:hAnsi="FangSong" w:eastAsia="FangSong" w:cs="FangSong"/>
          <w:sz w:val="28"/>
          <w:szCs w:val="28"/>
          <w:spacing w:val="-24"/>
        </w:rPr>
        <w:t>附卷。</w:t>
      </w:r>
    </w:p>
    <w:sectPr>
      <w:footerReference w:type="default" r:id="rId1"/>
      <w:pgSz w:w="11907" w:h="16840"/>
      <w:pgMar w:top="1431" w:right="1521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72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