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689" w:hRule="atLeast"/>
        </w:trPr>
        <w:tc>
          <w:tcPr>
            <w:tcW w:w="8935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3714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3030"/>
              <w:spacing w:before="125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调取证据通知书</w:t>
            </w:r>
          </w:p>
          <w:p>
            <w:pPr>
              <w:pStyle w:val="TableText"/>
              <w:ind w:left="4393"/>
              <w:spacing w:before="182" w:line="229" w:lineRule="auto"/>
              <w:rPr/>
            </w:pPr>
            <w:r>
              <w:rPr>
                <w:spacing w:val="-11"/>
              </w:rPr>
              <w:t>源公（经）调证字〔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46" w:lineRule="auto"/>
              <w:tabs>
                <w:tab w:val="left" w:pos="3508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720"/>
              <w:spacing w:before="187" w:line="226" w:lineRule="auto"/>
              <w:rPr/>
            </w:pPr>
            <w:r>
              <w:rPr>
                <w:spacing w:val="-14"/>
              </w:rPr>
              <w:t>根据《公安机关办理行政案件程序规定》第二十五条之规定，</w:t>
            </w:r>
          </w:p>
          <w:p>
            <w:pPr>
              <w:pStyle w:val="TableText"/>
              <w:ind w:left="125" w:right="108" w:firstLine="2"/>
              <w:spacing w:before="93" w:line="262" w:lineRule="auto"/>
              <w:rPr/>
            </w:pPr>
            <w:r>
              <w:rPr>
                <w:spacing w:val="-15"/>
              </w:rPr>
              <w:t>现调取与</w:t>
            </w:r>
            <w:r>
              <w:rPr>
                <w:u w:val="single" w:color="auto"/>
                <w:spacing w:val="3"/>
              </w:rPr>
              <w:t xml:space="preserve">                          </w:t>
            </w:r>
            <w:r>
              <w:rPr>
                <w:u w:val="single" w:color="auto"/>
                <w:spacing w:val="2"/>
              </w:rPr>
              <w:t xml:space="preserve">         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5"/>
              </w:rPr>
              <w:t>一案</w:t>
            </w:r>
            <w:r>
              <w:rPr>
                <w:spacing w:val="-17"/>
              </w:rPr>
              <w:t>有关的下列证据：</w:t>
            </w:r>
            <w:r>
              <w:rPr>
                <w:u w:val="single" w:color="auto"/>
              </w:rPr>
              <w:t xml:space="preserve">                                         </w:t>
            </w:r>
          </w:p>
          <w:p>
            <w:pPr>
              <w:ind w:left="107"/>
              <w:spacing w:before="117"/>
              <w:tabs>
                <w:tab w:val="left" w:pos="8821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37" w:line="167" w:lineRule="auto"/>
              <w:tabs>
                <w:tab w:val="left" w:pos="8533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17"/>
              </w:rPr>
              <w:t>。</w:t>
            </w:r>
          </w:p>
          <w:p>
            <w:pPr>
              <w:pStyle w:val="TableText"/>
              <w:ind w:left="700"/>
              <w:spacing w:before="126" w:line="227" w:lineRule="auto"/>
              <w:rPr/>
            </w:pPr>
            <w:r>
              <w:rPr>
                <w:spacing w:val="-14"/>
              </w:rPr>
              <w:t>伪造证据、隐匿证据或者毁灭证据的，将受法律追究。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51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6049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/>
              <w:spacing w:before="101" w:line="228" w:lineRule="auto"/>
              <w:rPr/>
            </w:pPr>
            <w:r>
              <w:rPr>
                <w:spacing w:val="-13"/>
              </w:rPr>
              <w:t>本通知书已收到。</w:t>
            </w:r>
          </w:p>
          <w:p>
            <w:pPr>
              <w:pStyle w:val="TableText"/>
              <w:ind w:left="128"/>
              <w:spacing w:before="58" w:line="228" w:lineRule="auto"/>
              <w:rPr/>
            </w:pPr>
            <w:r>
              <w:rPr>
                <w:spacing w:val="-11"/>
              </w:rPr>
              <w:t>证据持有人</w:t>
            </w:r>
          </w:p>
          <w:p>
            <w:pPr>
              <w:pStyle w:val="TableText"/>
              <w:ind w:left="1760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一式两份，一份交证据持有人，一份附卷。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36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