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Microcosm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Microcosm, short form `mcosm`, is an Arc-native programmable payment layer for the open internet.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product goal is straightforward: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let users and businesses send USDC-based payments on Arc using email, Google identity, or agent identity instead of raw wallet addresses</w:t>
      </w:r>
    </w:p>
    <w:p>
      <w:pPr>
        <w:spacing w:after="40"/>
      </w:pPr>
      <w:r>
        <w:rPr>
          <w:rFonts w:ascii="Arial" w:hAnsi="Arial"/>
          <w:sz w:val="21"/>
        </w:rPr>
        <w:t xml:space="preserve">• let recipients get notified, claim funds, and receive a self-custodial or provisioned wallet</w:t>
      </w:r>
    </w:p>
    <w:p>
      <w:pPr>
        <w:spacing w:after="40"/>
      </w:pPr>
      <w:r>
        <w:rPr>
          <w:rFonts w:ascii="Arial" w:hAnsi="Arial"/>
          <w:sz w:val="21"/>
        </w:rPr>
        <w:t xml:space="preserve">• let organizations define payment envelopes that control who can spend, how much, when, under what schedule, and through which settlement path</w:t>
      </w:r>
    </w:p>
    <w:p>
      <w:pPr>
        <w:spacing w:after="40"/>
      </w:pPr>
      <w:r>
        <w:rPr>
          <w:rFonts w:ascii="Arial" w:hAnsi="Arial"/>
          <w:sz w:val="21"/>
        </w:rPr>
        <w:t xml:space="preserve">• let agents automate bill pay, payroll, disbursements, treasury movements, and settlement while staying inside explicit policy controls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repository contains the backend foundation for that system: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Arc settlement planning and async execution paths</w:t>
      </w:r>
    </w:p>
    <w:p>
      <w:pPr>
        <w:spacing w:after="40"/>
      </w:pPr>
      <w:r>
        <w:rPr>
          <w:rFonts w:ascii="Arial" w:hAnsi="Arial"/>
          <w:sz w:val="21"/>
        </w:rPr>
        <w:t xml:space="preserve">• Privy-backed identity and wallet provisioning hooks</w:t>
      </w:r>
    </w:p>
    <w:p>
      <w:pPr>
        <w:spacing w:after="40"/>
      </w:pPr>
      <w:r>
        <w:rPr>
          <w:rFonts w:ascii="Arial" w:hAnsi="Arial"/>
          <w:sz w:val="21"/>
        </w:rPr>
        <w:t xml:space="preserve">• recipient resolution and claim flows</w:t>
      </w:r>
    </w:p>
    <w:p>
      <w:pPr>
        <w:spacing w:after="40"/>
      </w:pPr>
      <w:r>
        <w:rPr>
          <w:rFonts w:ascii="Arial" w:hAnsi="Arial"/>
          <w:sz w:val="21"/>
        </w:rPr>
        <w:t xml:space="preserve">• envelope and intent evaluation</w:t>
      </w:r>
    </w:p>
    <w:p>
      <w:pPr>
        <w:spacing w:after="40"/>
      </w:pPr>
      <w:r>
        <w:rPr>
          <w:rFonts w:ascii="Arial" w:hAnsi="Arial"/>
          <w:sz w:val="21"/>
        </w:rPr>
        <w:t xml:space="preserve">• payment and settlement services</w:t>
      </w:r>
    </w:p>
    <w:p>
      <w:pPr>
        <w:spacing w:after="40"/>
      </w:pPr>
      <w:r>
        <w:rPr>
          <w:rFonts w:ascii="Arial" w:hAnsi="Arial"/>
          <w:sz w:val="21"/>
        </w:rPr>
        <w:t xml:space="preserve">• async API runtime with health and readiness checks</w:t>
      </w:r>
    </w:p>
    <w:p>
      <w:pPr>
        <w:spacing w:after="40"/>
      </w:pPr>
      <w:r>
        <w:rPr>
          <w:rFonts w:ascii="Arial" w:hAnsi="Arial"/>
          <w:sz w:val="21"/>
        </w:rPr>
        <w:t xml:space="preserve">• Postgres schema and repository boundary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Current State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codebase is no longer a toy sketch, but it is not yet a finished product. The following pieces exist today: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typed runtime configuration</w:t>
      </w:r>
    </w:p>
    <w:p>
      <w:pPr>
        <w:spacing w:after="40"/>
      </w:pPr>
      <w:r>
        <w:rPr>
          <w:rFonts w:ascii="Arial" w:hAnsi="Arial"/>
          <w:sz w:val="21"/>
        </w:rPr>
        <w:t xml:space="preserve">• `@mcosm` adapter packages for Arc, Privy, XMTP, Allium, and market venues</w:t>
      </w:r>
    </w:p>
    <w:p>
      <w:pPr>
        <w:spacing w:after="40"/>
      </w:pPr>
      <w:r>
        <w:rPr>
          <w:rFonts w:ascii="Arial" w:hAnsi="Arial"/>
          <w:sz w:val="21"/>
        </w:rPr>
        <w:t xml:space="preserve">• persistent recipient and identity model</w:t>
      </w:r>
    </w:p>
    <w:p>
      <w:pPr>
        <w:spacing w:after="40"/>
      </w:pPr>
      <w:r>
        <w:rPr>
          <w:rFonts w:ascii="Arial" w:hAnsi="Arial"/>
          <w:sz w:val="21"/>
        </w:rPr>
        <w:t xml:space="preserve">• payment creation and claim flows</w:t>
      </w:r>
    </w:p>
    <w:p>
      <w:pPr>
        <w:spacing w:after="40"/>
      </w:pPr>
      <w:r>
        <w:rPr>
          <w:rFonts w:ascii="Arial" w:hAnsi="Arial"/>
          <w:sz w:val="21"/>
        </w:rPr>
        <w:t xml:space="preserve">• health and readiness checks</w:t>
      </w:r>
    </w:p>
    <w:p>
      <w:pPr>
        <w:spacing w:after="40"/>
      </w:pPr>
      <w:r>
        <w:rPr>
          <w:rFonts w:ascii="Arial" w:hAnsi="Arial"/>
          <w:sz w:val="21"/>
        </w:rPr>
        <w:t xml:space="preserve">• Postgres repository boundary for identity</w:t>
      </w:r>
    </w:p>
    <w:p>
      <w:pPr>
        <w:spacing w:after="40"/>
      </w:pPr>
      <w:r>
        <w:rPr>
          <w:rFonts w:ascii="Arial" w:hAnsi="Arial"/>
          <w:sz w:val="21"/>
        </w:rPr>
        <w:t xml:space="preserve">• Arc testnet runtime support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following pieces still need to be completed for a production-quality testnet deployment: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live Postgres runtime and migrations beyond the first schema</w:t>
      </w:r>
    </w:p>
    <w:p>
      <w:pPr>
        <w:spacing w:after="40"/>
      </w:pPr>
      <w:r>
        <w:rPr>
          <w:rFonts w:ascii="Arial" w:hAnsi="Arial"/>
          <w:sz w:val="21"/>
        </w:rPr>
        <w:t xml:space="preserve">• contract deployment on Arc testnet</w:t>
      </w:r>
    </w:p>
    <w:p>
      <w:pPr>
        <w:spacing w:after="40"/>
      </w:pPr>
      <w:r>
        <w:rPr>
          <w:rFonts w:ascii="Arial" w:hAnsi="Arial"/>
          <w:sz w:val="21"/>
        </w:rPr>
        <w:t xml:space="preserve">• real escrow contract flow for unclaimed recipients</w:t>
      </w:r>
    </w:p>
    <w:p>
      <w:pPr>
        <w:spacing w:after="40"/>
      </w:pPr>
      <w:r>
        <w:rPr>
          <w:rFonts w:ascii="Arial" w:hAnsi="Arial"/>
          <w:sz w:val="21"/>
        </w:rPr>
        <w:t xml:space="preserve">• repository layers for envelopes, intents, payments, settlements, notifications, and ledger</w:t>
      </w:r>
    </w:p>
    <w:p>
      <w:pPr>
        <w:spacing w:after="40"/>
      </w:pPr>
      <w:r>
        <w:rPr>
          <w:rFonts w:ascii="Arial" w:hAnsi="Arial"/>
          <w:sz w:val="21"/>
        </w:rPr>
        <w:t xml:space="preserve">• async workers for settlement, notification, reconciliation, and scheduling</w:t>
      </w:r>
    </w:p>
    <w:p>
      <w:pPr>
        <w:spacing w:after="40"/>
      </w:pPr>
      <w:r>
        <w:rPr>
          <w:rFonts w:ascii="Arial" w:hAnsi="Arial"/>
          <w:sz w:val="21"/>
        </w:rPr>
        <w:t xml:space="preserve">• first-class SDK and CLI surfaces</w:t>
      </w:r>
    </w:p>
    <w:p>
      <w:pPr>
        <w:spacing w:after="40"/>
      </w:pPr>
      <w:r>
        <w:rPr>
          <w:rFonts w:ascii="Arial" w:hAnsi="Arial"/>
          <w:sz w:val="21"/>
        </w:rPr>
        <w:t xml:space="preserve">• operational deployment scripts and dashboards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Documentation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Detailed planning documents live here: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[Detailed Build Plan](./docs/MICROCOSM_BUILD_PLAN.md)</w:t>
      </w:r>
    </w:p>
    <w:p>
      <w:pPr>
        <w:spacing w:after="40"/>
      </w:pPr>
      <w:r>
        <w:rPr>
          <w:rFonts w:ascii="Arial" w:hAnsi="Arial"/>
          <w:sz w:val="21"/>
        </w:rPr>
        <w:t xml:space="preserve">• [DOCX Build Plan](./output/doc/microcosm_build_plan.docx)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Local Runtime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Environment is read from `.env`.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Important variables: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`DATABASE_URL`</w:t>
      </w:r>
    </w:p>
    <w:p>
      <w:pPr>
        <w:spacing w:after="40"/>
      </w:pPr>
      <w:r>
        <w:rPr>
          <w:rFonts w:ascii="Arial" w:hAnsi="Arial"/>
          <w:sz w:val="21"/>
        </w:rPr>
        <w:t xml:space="preserve">• `PRIVY_APP_ID`</w:t>
      </w:r>
    </w:p>
    <w:p>
      <w:pPr>
        <w:spacing w:after="40"/>
      </w:pPr>
      <w:r>
        <w:rPr>
          <w:rFonts w:ascii="Arial" w:hAnsi="Arial"/>
          <w:sz w:val="21"/>
        </w:rPr>
        <w:t xml:space="preserve">• `PRIVY_APP_SECRET`</w:t>
      </w:r>
    </w:p>
    <w:p>
      <w:pPr>
        <w:spacing w:after="40"/>
      </w:pPr>
      <w:r>
        <w:rPr>
          <w:rFonts w:ascii="Arial" w:hAnsi="Arial"/>
          <w:sz w:val="21"/>
        </w:rPr>
        <w:t xml:space="preserve">• `ARC_SETTLEMENT_PRIVATE_KEY`</w:t>
      </w:r>
    </w:p>
    <w:p>
      <w:pPr>
        <w:spacing w:after="40"/>
      </w:pPr>
      <w:r>
        <w:rPr>
          <w:rFonts w:ascii="Arial" w:hAnsi="Arial"/>
          <w:sz w:val="21"/>
        </w:rPr>
        <w:t xml:space="preserve">• `ARC_TESTNET_RPC_URL`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Useful commands: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typecheck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test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check:api-runtime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db:apply-schema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start:api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Expected Local Bootstrap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On a real development machine, the expected order is: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start PostgreSQL</w:t>
      </w:r>
    </w:p>
    <w:p>
      <w:pPr>
        <w:spacing w:after="40"/>
      </w:pPr>
      <w:r>
        <w:rPr>
          <w:rFonts w:ascii="Arial" w:hAnsi="Arial"/>
          <w:sz w:val="21"/>
        </w:rPr>
        <w:t xml:space="preserve">2. set `.env`</w:t>
      </w:r>
    </w:p>
    <w:p>
      <w:pPr>
        <w:spacing w:after="40"/>
      </w:pPr>
      <w:r>
        <w:rPr>
          <w:rFonts w:ascii="Arial" w:hAnsi="Arial"/>
          <w:sz w:val="21"/>
        </w:rPr>
        <w:t xml:space="preserve">3. run `npm install`</w:t>
      </w:r>
    </w:p>
    <w:p>
      <w:pPr>
        <w:spacing w:after="40"/>
      </w:pPr>
      <w:r>
        <w:rPr>
          <w:rFonts w:ascii="Arial" w:hAnsi="Arial"/>
          <w:sz w:val="21"/>
        </w:rPr>
        <w:t xml:space="preserve">4. run `npm run db:apply-schema`</w:t>
      </w:r>
    </w:p>
    <w:p>
      <w:pPr>
        <w:spacing w:after="40"/>
      </w:pPr>
      <w:r>
        <w:rPr>
          <w:rFonts w:ascii="Arial" w:hAnsi="Arial"/>
          <w:sz w:val="21"/>
        </w:rPr>
        <w:t xml:space="preserve">5. run `npm run check:api-runtime`</w:t>
      </w:r>
    </w:p>
    <w:p>
      <w:pPr>
        <w:spacing w:after="40"/>
      </w:pPr>
      <w:r>
        <w:rPr>
          <w:rFonts w:ascii="Arial" w:hAnsi="Arial"/>
          <w:sz w:val="21"/>
        </w:rPr>
        <w:t xml:space="preserve">6. run `npm run start:api`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If `check:api-runtime` reports degraded status, do not try to continue feature work until the runtime dependency that is failing is fixed.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Architecture Summary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Microcosm should mature into these layers: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identity layer</w:t>
      </w:r>
    </w:p>
    <w:p>
      <w:pPr>
        <w:spacing w:after="40"/>
      </w:pPr>
      <w:r>
        <w:rPr>
          <w:rFonts w:ascii="Arial" w:hAnsi="Arial"/>
          <w:sz w:val="21"/>
        </w:rPr>
        <w:t xml:space="preserve">• recipient resolution layer</w:t>
      </w:r>
    </w:p>
    <w:p>
      <w:pPr>
        <w:spacing w:after="40"/>
      </w:pPr>
      <w:r>
        <w:rPr>
          <w:rFonts w:ascii="Arial" w:hAnsi="Arial"/>
          <w:sz w:val="21"/>
        </w:rPr>
        <w:t xml:space="preserve">• policy and envelope layer</w:t>
      </w:r>
    </w:p>
    <w:p>
      <w:pPr>
        <w:spacing w:after="40"/>
      </w:pPr>
      <w:r>
        <w:rPr>
          <w:rFonts w:ascii="Arial" w:hAnsi="Arial"/>
          <w:sz w:val="21"/>
        </w:rPr>
        <w:t xml:space="preserve">• payment and intent layer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layer</w:t>
      </w:r>
    </w:p>
    <w:p>
      <w:pPr>
        <w:spacing w:after="40"/>
      </w:pPr>
      <w:r>
        <w:rPr>
          <w:rFonts w:ascii="Arial" w:hAnsi="Arial"/>
          <w:sz w:val="21"/>
        </w:rPr>
        <w:t xml:space="preserve">• communications layer</w:t>
      </w:r>
    </w:p>
    <w:p>
      <w:pPr>
        <w:spacing w:after="40"/>
      </w:pPr>
      <w:r>
        <w:rPr>
          <w:rFonts w:ascii="Arial" w:hAnsi="Arial"/>
          <w:sz w:val="21"/>
        </w:rPr>
        <w:t xml:space="preserve">• audit and observability layer</w:t>
      </w:r>
    </w:p>
    <w:p>
      <w:pPr>
        <w:spacing w:after="40"/>
      </w:pPr>
      <w:r>
        <w:rPr>
          <w:rFonts w:ascii="Arial" w:hAnsi="Arial"/>
          <w:sz w:val="21"/>
        </w:rPr>
        <w:t xml:space="preserve">• developer surface layer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canonical backend interfaces should remain: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API first</w:t>
      </w:r>
    </w:p>
    <w:p>
      <w:pPr>
        <w:spacing w:after="40"/>
      </w:pPr>
      <w:r>
        <w:rPr>
          <w:rFonts w:ascii="Arial" w:hAnsi="Arial"/>
          <w:sz w:val="21"/>
        </w:rPr>
        <w:t xml:space="preserve">• SDK second</w:t>
      </w:r>
    </w:p>
    <w:p>
      <w:pPr>
        <w:spacing w:after="40"/>
      </w:pPr>
      <w:r>
        <w:rPr>
          <w:rFonts w:ascii="Arial" w:hAnsi="Arial"/>
          <w:sz w:val="21"/>
        </w:rPr>
        <w:t xml:space="preserve">• CLI third</w:t>
      </w:r>
    </w:p>
    <w:p>
      <w:pPr>
        <w:spacing w:after="40"/>
      </w:pPr>
      <w:r>
        <w:rPr>
          <w:rFonts w:ascii="Arial" w:hAnsi="Arial"/>
          <w:sz w:val="21"/>
        </w:rPr>
        <w:t xml:space="preserve">• agent tools fourth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Immediate Next Build Areas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most important next engineering work is: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finish database-backed repositories across all domains</w:t>
      </w:r>
    </w:p>
    <w:p>
      <w:pPr>
        <w:spacing w:after="40"/>
      </w:pPr>
      <w:r>
        <w:rPr>
          <w:rFonts w:ascii="Arial" w:hAnsi="Arial"/>
          <w:sz w:val="21"/>
        </w:rPr>
        <w:t xml:space="preserve">2. deploy Arc settlement and escrow contracts</w:t>
      </w:r>
    </w:p>
    <w:p>
      <w:pPr>
        <w:spacing w:after="40"/>
      </w:pPr>
      <w:r>
        <w:rPr>
          <w:rFonts w:ascii="Arial" w:hAnsi="Arial"/>
          <w:sz w:val="21"/>
        </w:rPr>
        <w:t xml:space="preserve">3. move settlement and notifications into async workers</w:t>
      </w:r>
    </w:p>
    <w:p>
      <w:pPr>
        <w:spacing w:after="40"/>
      </w:pPr>
      <w:r>
        <w:rPr>
          <w:rFonts w:ascii="Arial" w:hAnsi="Arial"/>
          <w:sz w:val="21"/>
        </w:rPr>
        <w:t xml:space="preserve">4. build the SDK and CLI</w:t>
      </w:r>
    </w:p>
    <w:p>
      <w:pPr>
        <w:spacing w:after="40"/>
      </w:pPr>
      <w:r>
        <w:rPr>
          <w:rFonts w:ascii="Arial" w:hAnsi="Arial"/>
          <w:sz w:val="21"/>
        </w:rPr>
        <w:t xml:space="preserve">5. add a proper readiness gate for deployed environments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Lockfile Note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workspace currently runs, typechecks, and tests correctly, but the `package-lock.json` is not guaranteed to reflect every runtime dependency because `pg` was vendored manually after npm hit repeated stale temp-directory rename failures inside `node_modules`.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On a normal PC, the correct reset is: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rm -rf node_modules package-lock.json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install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typecheck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test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That should be treated as part of the first clean-machine bootstrap.</w:t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OpenAI Codex</dc:creator>
  <cp:lastModifiedBy>OpenAI Codex</cp:lastModifiedBy>
  <dcterms:created xsi:type="dcterms:W3CDTF">2026-04-12T14:36:17Z</dcterms:created>
  <dcterms:modified xsi:type="dcterms:W3CDTF">2026-04-12T14:36:17Z</dcterms:modified>
</cp:coreProperties>
</file>