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sz w:val="32"/>
          <w:b/>
        </w:rPr>
        <w:t xml:space="preserve">Microcosm Deployment Readiness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1. Purpose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document describes how close the current repository is to being deployable and what has been added to improve that state before moving work to a PC.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goal is not to claim production readiness. The goal is to maximize handoff quality and reduce the remaining operational gap.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2. What Is Deployment-Ready Enough Today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repository now has a usable deployment shape for local and testnet-oriented backend boot: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 `Dockerfile` for the API runtime</w:t>
      </w:r>
    </w:p>
    <w:p>
      <w:pPr>
        <w:spacing w:after="40"/>
      </w:pPr>
      <w:r>
        <w:rPr>
          <w:rFonts w:ascii="Arial" w:hAnsi="Arial"/>
          <w:sz w:val="21"/>
        </w:rPr>
        <w:t xml:space="preserve">• a `docker-compose.yml` stack for API plus Postgres</w:t>
      </w:r>
    </w:p>
    <w:p>
      <w:pPr>
        <w:spacing w:after="40"/>
      </w:pPr>
      <w:r>
        <w:rPr>
          <w:rFonts w:ascii="Arial" w:hAnsi="Arial"/>
          <w:sz w:val="21"/>
        </w:rPr>
        <w:t xml:space="preserve">• a `.dockerignore`</w:t>
      </w:r>
    </w:p>
    <w:p>
      <w:pPr>
        <w:spacing w:after="40"/>
      </w:pPr>
      <w:r>
        <w:rPr>
          <w:rFonts w:ascii="Arial" w:hAnsi="Arial"/>
          <w:sz w:val="21"/>
        </w:rPr>
        <w:t xml:space="preserve">• runtime health and readiness checks</w:t>
      </w:r>
    </w:p>
    <w:p>
      <w:pPr>
        <w:spacing w:after="40"/>
      </w:pPr>
      <w:r>
        <w:rPr>
          <w:rFonts w:ascii="Arial" w:hAnsi="Arial"/>
          <w:sz w:val="21"/>
        </w:rPr>
        <w:t xml:space="preserve">• a schema apply script</w:t>
      </w:r>
    </w:p>
    <w:p>
      <w:pPr>
        <w:spacing w:after="40"/>
      </w:pPr>
      <w:r>
        <w:rPr>
          <w:rFonts w:ascii="Arial" w:hAnsi="Arial"/>
          <w:sz w:val="21"/>
        </w:rPr>
        <w:t xml:space="preserve">• a boot entrypoint</w:t>
      </w:r>
    </w:p>
    <w:p>
      <w:pPr>
        <w:spacing w:after="40"/>
      </w:pPr>
      <w:r>
        <w:rPr>
          <w:rFonts w:ascii="Arial" w:hAnsi="Arial"/>
          <w:sz w:val="21"/>
        </w:rPr>
        <w:t xml:space="preserve">• a PC bootstrap guide</w:t>
      </w:r>
    </w:p>
    <w:p>
      <w:pPr>
        <w:spacing w:after="40"/>
      </w:pPr>
      <w:r>
        <w:rPr>
          <w:rFonts w:ascii="Arial" w:hAnsi="Arial"/>
          <w:sz w:val="21"/>
        </w:rPr>
        <w:t xml:space="preserve">• a checkpoint and backup script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These additions mean the repo now has a coherent path for: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local containerized boot on a normal PC</w:t>
      </w:r>
    </w:p>
    <w:p>
      <w:pPr>
        <w:spacing w:after="40"/>
      </w:pPr>
      <w:r>
        <w:rPr>
          <w:rFonts w:ascii="Arial" w:hAnsi="Arial"/>
          <w:sz w:val="21"/>
        </w:rPr>
        <w:t xml:space="preserve">• easier runtime verification</w:t>
      </w:r>
    </w:p>
    <w:p>
      <w:pPr>
        <w:spacing w:after="40"/>
      </w:pPr>
      <w:r>
        <w:rPr>
          <w:rFonts w:ascii="Arial" w:hAnsi="Arial"/>
          <w:sz w:val="21"/>
        </w:rPr>
        <w:t xml:space="preserve">• repeatable checkpoint backups during development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3. What The Deployment Bundle Includes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Dockerfile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`Dockerfile`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install dependencies with `npm ci`</w:t>
      </w:r>
    </w:p>
    <w:p>
      <w:pPr>
        <w:spacing w:after="40"/>
      </w:pPr>
      <w:r>
        <w:rPr>
          <w:rFonts w:ascii="Arial" w:hAnsi="Arial"/>
          <w:sz w:val="21"/>
        </w:rPr>
        <w:t xml:space="preserve">• copy the application source</w:t>
      </w:r>
    </w:p>
    <w:p>
      <w:pPr>
        <w:spacing w:after="40"/>
      </w:pPr>
      <w:r>
        <w:rPr>
          <w:rFonts w:ascii="Arial" w:hAnsi="Arial"/>
          <w:sz w:val="21"/>
        </w:rPr>
        <w:t xml:space="preserve">• expose port `3000`</w:t>
      </w:r>
    </w:p>
    <w:p>
      <w:pPr>
        <w:spacing w:after="40"/>
      </w:pPr>
      <w:r>
        <w:rPr>
          <w:rFonts w:ascii="Arial" w:hAnsi="Arial"/>
          <w:sz w:val="21"/>
        </w:rPr>
        <w:t xml:space="preserve">• start the API with `npm run start:api`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is intentionally simple. It favors reproducibility over optimization at this stage.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Docker Compose Stack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`docker-compose.yml`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Services: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`postgres`</w:t>
      </w:r>
    </w:p>
    <w:p>
      <w:pPr>
        <w:spacing w:after="40"/>
      </w:pPr>
      <w:r>
        <w:rPr>
          <w:rFonts w:ascii="Arial" w:hAnsi="Arial"/>
          <w:sz w:val="21"/>
        </w:rPr>
        <w:t xml:space="preserve">• `api`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API container waits on Postgres health, applies the base schema, and then starts the API.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is the right short-term shape for local and testnet-oriented backend iteration.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Docker Ignore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file: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`.dockerignore`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Purpose: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exclude `node_modules`</w:t>
      </w:r>
    </w:p>
    <w:p>
      <w:pPr>
        <w:spacing w:after="40"/>
      </w:pPr>
      <w:r>
        <w:rPr>
          <w:rFonts w:ascii="Arial" w:hAnsi="Arial"/>
          <w:sz w:val="21"/>
        </w:rPr>
        <w:t xml:space="preserve">• exclude `.env`</w:t>
      </w:r>
    </w:p>
    <w:p>
      <w:pPr>
        <w:spacing w:after="40"/>
      </w:pPr>
      <w:r>
        <w:rPr>
          <w:rFonts w:ascii="Arial" w:hAnsi="Arial"/>
          <w:sz w:val="21"/>
        </w:rPr>
        <w:t xml:space="preserve">• exclude generated output and checkpoints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keeps secrets and large local artifacts out of the container build context.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4. What Is Still Not Deployment-Ready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Even with the new deployment artifacts, the repo is still not truly deployable as a reliable payment product until the following are completed: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full Postgres repositories for non-identity domains</w:t>
      </w:r>
    </w:p>
    <w:p>
      <w:pPr>
        <w:spacing w:after="40"/>
      </w:pPr>
      <w:r>
        <w:rPr>
          <w:rFonts w:ascii="Arial" w:hAnsi="Arial"/>
          <w:sz w:val="21"/>
        </w:rPr>
        <w:t xml:space="preserve">• worker service implementation</w:t>
      </w:r>
    </w:p>
    <w:p>
      <w:pPr>
        <w:spacing w:after="40"/>
      </w:pPr>
      <w:r>
        <w:rPr>
          <w:rFonts w:ascii="Arial" w:hAnsi="Arial"/>
          <w:sz w:val="21"/>
        </w:rPr>
        <w:t xml:space="preserve">• Arc contracts</w:t>
      </w:r>
    </w:p>
    <w:p>
      <w:pPr>
        <w:spacing w:after="40"/>
      </w:pPr>
      <w:r>
        <w:rPr>
          <w:rFonts w:ascii="Arial" w:hAnsi="Arial"/>
          <w:sz w:val="21"/>
        </w:rPr>
        <w:t xml:space="preserve">• settlement reconciliation</w:t>
      </w:r>
    </w:p>
    <w:p>
      <w:pPr>
        <w:spacing w:after="40"/>
      </w:pPr>
      <w:r>
        <w:rPr>
          <w:rFonts w:ascii="Arial" w:hAnsi="Arial"/>
          <w:sz w:val="21"/>
        </w:rPr>
        <w:t xml:space="preserve">• real notification providers</w:t>
      </w:r>
    </w:p>
    <w:p>
      <w:pPr>
        <w:spacing w:after="40"/>
      </w:pPr>
      <w:r>
        <w:rPr>
          <w:rFonts w:ascii="Arial" w:hAnsi="Arial"/>
          <w:sz w:val="21"/>
        </w:rPr>
        <w:t xml:space="preserve">• auth and tenant scoping</w:t>
      </w:r>
    </w:p>
    <w:p>
      <w:pPr>
        <w:spacing w:after="40"/>
      </w:pPr>
      <w:r>
        <w:rPr>
          <w:rFonts w:ascii="Arial" w:hAnsi="Arial"/>
          <w:sz w:val="21"/>
        </w:rPr>
        <w:t xml:space="preserve">• internal ledger and audit persistence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deployment assets improve startup quality. They do not eliminate core product incompleteness.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5. Current Deployment Risks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No Full Durable Persistence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durable repository support is strongest for identity.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Major runtime domains still depend on in-memory or JSON-backed state: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envelopes</w:t>
      </w:r>
    </w:p>
    <w:p>
      <w:pPr>
        <w:spacing w:after="40"/>
      </w:pPr>
      <w:r>
        <w:rPr>
          <w:rFonts w:ascii="Arial" w:hAnsi="Arial"/>
          <w:sz w:val="21"/>
        </w:rPr>
        <w:t xml:space="preserve">• intents</w:t>
      </w:r>
    </w:p>
    <w:p>
      <w:pPr>
        <w:spacing w:after="40"/>
      </w:pPr>
      <w:r>
        <w:rPr>
          <w:rFonts w:ascii="Arial" w:hAnsi="Arial"/>
          <w:sz w:val="21"/>
        </w:rPr>
        <w:t xml:space="preserve">• payments</w:t>
      </w:r>
    </w:p>
    <w:p>
      <w:pPr>
        <w:spacing w:after="40"/>
      </w:pPr>
      <w:r>
        <w:rPr>
          <w:rFonts w:ascii="Arial" w:hAnsi="Arial"/>
          <w:sz w:val="21"/>
        </w:rPr>
        <w:t xml:space="preserve">• notifications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This means a running container does not yet imply durable product behavior.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No Worker Runtime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API still handles too much execution responsibility directly.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Without workers: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async execution is fragile</w:t>
      </w:r>
    </w:p>
    <w:p>
      <w:pPr>
        <w:spacing w:after="40"/>
      </w:pPr>
      <w:r>
        <w:rPr>
          <w:rFonts w:ascii="Arial" w:hAnsi="Arial"/>
          <w:sz w:val="21"/>
        </w:rPr>
        <w:t xml:space="preserve">• retries are limited</w:t>
      </w:r>
    </w:p>
    <w:p>
      <w:pPr>
        <w:spacing w:after="40"/>
      </w:pPr>
      <w:r>
        <w:rPr>
          <w:rFonts w:ascii="Arial" w:hAnsi="Arial"/>
          <w:sz w:val="21"/>
        </w:rPr>
        <w:t xml:space="preserve">• reconciliation is missing</w:t>
      </w:r>
    </w:p>
    <w:p>
      <w:pPr>
        <w:spacing w:after="60"/>
      </w:pPr>
      <w:r>
        <w:t/>
      </w:r>
    </w:p>
    <w:p>
      <w:pPr>
        <w:spacing w:before="120" w:after="60"/>
      </w:pPr>
      <w:r>
        <w:rPr>
          <w:rFonts w:ascii="Arial" w:hAnsi="Arial"/>
          <w:sz w:val="22"/>
          <w:b/>
        </w:rPr>
        <w:t xml:space="preserve">No Contract-Backed Claim Escrow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Claimable payments are still application-state transitions rather than onchain escrow flows.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That is acceptable for current backend iteration and unacceptable for the finished product.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6. Recommended Deployment Sequence On PC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Once moved to a PC, use this sequence: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1. run a clean install</w:t>
      </w:r>
    </w:p>
    <w:p>
      <w:pPr>
        <w:spacing w:after="40"/>
      </w:pPr>
      <w:r>
        <w:rPr>
          <w:rFonts w:ascii="Arial" w:hAnsi="Arial"/>
          <w:sz w:val="21"/>
        </w:rPr>
        <w:t xml:space="preserve">2. start the Docker stack</w:t>
      </w:r>
    </w:p>
    <w:p>
      <w:pPr>
        <w:spacing w:after="40"/>
      </w:pPr>
      <w:r>
        <w:rPr>
          <w:rFonts w:ascii="Arial" w:hAnsi="Arial"/>
          <w:sz w:val="21"/>
        </w:rPr>
        <w:t xml:space="preserve">3. confirm Postgres is healthy</w:t>
      </w:r>
    </w:p>
    <w:p>
      <w:pPr>
        <w:spacing w:after="40"/>
      </w:pPr>
      <w:r>
        <w:rPr>
          <w:rFonts w:ascii="Arial" w:hAnsi="Arial"/>
          <w:sz w:val="21"/>
        </w:rPr>
        <w:t xml:space="preserve">4. confirm schema application succeeds</w:t>
      </w:r>
    </w:p>
    <w:p>
      <w:pPr>
        <w:spacing w:after="40"/>
      </w:pPr>
      <w:r>
        <w:rPr>
          <w:rFonts w:ascii="Arial" w:hAnsi="Arial"/>
          <w:sz w:val="21"/>
        </w:rPr>
        <w:t xml:space="preserve">5. confirm `/readyz` returns healthy</w:t>
      </w:r>
    </w:p>
    <w:p>
      <w:pPr>
        <w:spacing w:after="40"/>
      </w:pPr>
      <w:r>
        <w:rPr>
          <w:rFonts w:ascii="Arial" w:hAnsi="Arial"/>
          <w:sz w:val="21"/>
        </w:rPr>
        <w:t xml:space="preserve">6. add repositories for the remaining core payment domains</w:t>
      </w:r>
    </w:p>
    <w:p>
      <w:pPr>
        <w:spacing w:after="40"/>
      </w:pPr>
      <w:r>
        <w:rPr>
          <w:rFonts w:ascii="Arial" w:hAnsi="Arial"/>
          <w:sz w:val="21"/>
        </w:rPr>
        <w:t xml:space="preserve">7. add workers</w:t>
      </w:r>
    </w:p>
    <w:p>
      <w:pPr>
        <w:spacing w:after="40"/>
      </w:pPr>
      <w:r>
        <w:rPr>
          <w:rFonts w:ascii="Arial" w:hAnsi="Arial"/>
          <w:sz w:val="21"/>
        </w:rPr>
        <w:t xml:space="preserve">8. add contracts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7. Runtime Commands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Current commands: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typecheck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test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db:apply-schema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check:api-runtime</w:t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npm run start:api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Container path on a PC:</w:t>
      </w:r>
    </w:p>
    <w:p>
      <w:pPr>
        <w:spacing w:after="60"/>
      </w:pPr>
      <w:r>
        <w:t/>
      </w:r>
    </w:p>
    <w:p>
      <w:pPr>
        <w:shd w:fill="F3F3F3"/>
        <w:spacing w:after="20"/>
      </w:pPr>
      <w:r>
        <w:rPr>
          <w:rFonts w:ascii="Courier New" w:hAnsi="Courier New"/>
          <w:sz w:val="19"/>
        </w:rPr>
        <w:t xml:space="preserve">docker compose up --build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8. How To Interpret “Deployment Ready” For Microcosm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At this stage, “deployment ready” should mean: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can be booted reliably on a PC</w:t>
      </w:r>
    </w:p>
    <w:p>
      <w:pPr>
        <w:spacing w:after="40"/>
      </w:pPr>
      <w:r>
        <w:rPr>
          <w:rFonts w:ascii="Arial" w:hAnsi="Arial"/>
          <w:sz w:val="21"/>
        </w:rPr>
        <w:t xml:space="preserve">• can be reproduced by another environment</w:t>
      </w:r>
    </w:p>
    <w:p>
      <w:pPr>
        <w:spacing w:after="40"/>
      </w:pPr>
      <w:r>
        <w:rPr>
          <w:rFonts w:ascii="Arial" w:hAnsi="Arial"/>
          <w:sz w:val="21"/>
        </w:rPr>
        <w:t xml:space="preserve">• can be checkpointed safely</w:t>
      </w:r>
    </w:p>
    <w:p>
      <w:pPr>
        <w:spacing w:after="40"/>
      </w:pPr>
      <w:r>
        <w:rPr>
          <w:rFonts w:ascii="Arial" w:hAnsi="Arial"/>
          <w:sz w:val="21"/>
        </w:rPr>
        <w:t xml:space="preserve">• has a documented startup path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It should not yet mean: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production safe</w:t>
      </w:r>
    </w:p>
    <w:p>
      <w:pPr>
        <w:spacing w:after="40"/>
      </w:pPr>
      <w:r>
        <w:rPr>
          <w:rFonts w:ascii="Arial" w:hAnsi="Arial"/>
          <w:sz w:val="21"/>
        </w:rPr>
        <w:t xml:space="preserve">• financially complete</w:t>
      </w:r>
    </w:p>
    <w:p>
      <w:pPr>
        <w:spacing w:after="40"/>
      </w:pPr>
      <w:r>
        <w:rPr>
          <w:rFonts w:ascii="Arial" w:hAnsi="Arial"/>
          <w:sz w:val="21"/>
        </w:rPr>
        <w:t xml:space="preserve">• fully durable</w:t>
      </w:r>
    </w:p>
    <w:p>
      <w:pPr>
        <w:spacing w:after="40"/>
      </w:pPr>
      <w:r>
        <w:rPr>
          <w:rFonts w:ascii="Arial" w:hAnsi="Arial"/>
          <w:sz w:val="21"/>
        </w:rPr>
        <w:t xml:space="preserve">• operationally mature</w:t>
      </w:r>
    </w:p>
    <w:p>
      <w:pPr>
        <w:spacing w:after="60"/>
      </w:pPr>
      <w:r>
        <w:t/>
      </w:r>
    </w:p>
    <w:p>
      <w:pPr>
        <w:spacing w:before="180" w:after="80"/>
      </w:pPr>
      <w:r>
        <w:rPr>
          <w:rFonts w:ascii="Arial" w:hAnsi="Arial"/>
          <w:sz w:val="26"/>
          <w:b/>
        </w:rPr>
        <w:t xml:space="preserve">9. Summary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repository is now materially closer to deployable because it has:</w:t>
      </w:r>
    </w:p>
    <w:p>
      <w:pPr>
        <w:spacing w:after="60"/>
      </w:pPr>
      <w:r>
        <w:t/>
      </w:r>
    </w:p>
    <w:p>
      <w:pPr>
        <w:spacing w:after="40"/>
      </w:pPr>
      <w:r>
        <w:rPr>
          <w:rFonts w:ascii="Arial" w:hAnsi="Arial"/>
          <w:sz w:val="21"/>
        </w:rPr>
        <w:t xml:space="preserve">• a containerized boot path</w:t>
      </w:r>
    </w:p>
    <w:p>
      <w:pPr>
        <w:spacing w:after="40"/>
      </w:pPr>
      <w:r>
        <w:rPr>
          <w:rFonts w:ascii="Arial" w:hAnsi="Arial"/>
          <w:sz w:val="21"/>
        </w:rPr>
        <w:t xml:space="preserve">• startup orchestration for API plus Postgres</w:t>
      </w:r>
    </w:p>
    <w:p>
      <w:pPr>
        <w:spacing w:after="40"/>
      </w:pPr>
      <w:r>
        <w:rPr>
          <w:rFonts w:ascii="Arial" w:hAnsi="Arial"/>
          <w:sz w:val="21"/>
        </w:rPr>
        <w:t xml:space="preserve">• secret-safe backup tooling</w:t>
      </w:r>
    </w:p>
    <w:p>
      <w:pPr>
        <w:spacing w:after="40"/>
      </w:pPr>
      <w:r>
        <w:rPr>
          <w:rFonts w:ascii="Arial" w:hAnsi="Arial"/>
          <w:sz w:val="21"/>
        </w:rPr>
        <w:t xml:space="preserve">• stronger execution-state documentation</w:t>
      </w:r>
    </w:p>
    <w:p>
      <w:pPr>
        <w:spacing w:after="60"/>
      </w:pPr>
      <w:r>
        <w:t/>
      </w:r>
    </w:p>
    <w:p>
      <w:pPr>
        <w:spacing w:after="60"/>
      </w:pPr>
      <w:r>
        <w:rPr>
          <w:rFonts w:ascii="Arial" w:hAnsi="Arial"/>
          <w:sz w:val="21"/>
        </w:rPr>
        <w:t xml:space="preserve">The next work required to go beyond this is domain durability, workers, contracts, and reconciliation.</w:t>
      </w:r>
    </w:p>
    <w:p>
      <w:pPr>
        <w:spacing w:after="60"/>
      </w:pPr>
      <w:r>
        <w:t/>
      </w:r>
    </w:p>
    <w:sectPr>
      <w:pgSz w:w="12240" w:h="15840"/>
      <w:pgMar w:top="1080" w:right="1296" w:bottom="1080" w:left="1296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MICROCOSM_DEPLOYMENT_READINESS</dc:title>
  <dc:creator>OpenAI Codex</dc:creator>
  <cp:lastModifiedBy>OpenAI Codex</cp:lastModifiedBy>
  <dcterms:created xsi:type="dcterms:W3CDTF">2026-04-13T09:52:27Z</dcterms:created>
  <dcterms:modified xsi:type="dcterms:W3CDTF">2026-04-13T09:52:27Z</dcterms:modified>
</cp:coreProperties>
</file>