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left"/>
        <w:rPr>
          <w:b w:val="1"/>
        </w:rPr>
      </w:pPr>
      <w:bookmarkStart w:colFirst="0" w:colLast="0" w:name="_ea4d699dlh6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CIBINQO (abrocitinib)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treatment of adults and pediatric patients 12 years of age and older with refractory, moderate-to-severe atopic dermatitis whose disease is not adequately controlled with systemic drug products, including biologics, or when use of those therapies is inadvisable.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spacing w:line="240" w:lineRule="auto"/>
              <w:rPr/>
            </w:pPr>
            <w:bookmarkStart w:colFirst="0" w:colLast="0" w:name="_pq9uung66y1q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47bb"/>
                <w:sz w:val="27"/>
                <w:szCs w:val="27"/>
                <w:rtl w:val="0"/>
              </w:rPr>
              <w:t xml:space="preserve">Powerful Skin Clearance and Rapid Itch Relief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EASI-75 at week 12 and PP-NRS4 as early as week 2 achieved for some patient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shd w:fill="f2f4f9" w:val="clear"/>
                  <w:rtl w:val="0"/>
                </w:rPr>
                <w:t xml:space="preserve">See Efficacy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line="240" w:lineRule="auto"/>
              <w:rPr/>
            </w:pPr>
            <w:bookmarkStart w:colFirst="0" w:colLast="0" w:name="_pq9uung66y1q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47bb"/>
                <w:sz w:val="27"/>
                <w:szCs w:val="27"/>
                <w:rtl w:val="0"/>
              </w:rPr>
              <w:t xml:space="preserve">Flexibility to Increase Dose if Needed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CIBINQO is an oral, once-daily treatment option</w:t>
            </w: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3838"/>
                <w:sz w:val="24"/>
                <w:szCs w:val="24"/>
                <w:shd w:fill="f2f4f9" w:val="clear"/>
                <w:rtl w:val="0"/>
              </w:rPr>
              <w:t xml:space="preserve">100 mg recommended dose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200 mg may be considered for patients uncontrolled on 100 mg after 12 weeks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Discontinue therapy if an adequate response is not achieved on 200 mg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rPr>
                <w:color w:val="383838"/>
                <w:sz w:val="24"/>
                <w:szCs w:val="24"/>
                <w:shd w:fill="f2f4f9" w:val="clear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shd w:fill="f2f4f9" w:val="clear"/>
                  <w:rtl w:val="0"/>
                </w:rPr>
                <w:t xml:space="preserve">See Dosing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widowControl w:val="0"/>
              <w:spacing w:line="240" w:lineRule="auto"/>
              <w:rPr/>
            </w:pPr>
            <w:bookmarkStart w:colFirst="0" w:colLast="0" w:name="_pq9uung66y1q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47bb"/>
                <w:sz w:val="27"/>
                <w:szCs w:val="27"/>
                <w:rtl w:val="0"/>
              </w:rPr>
              <w:t xml:space="preserve">Well-studied Safety Profile in AD Population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Studied in 3582 patients with AD across multiple clinical trials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383838"/>
                <w:sz w:val="24"/>
                <w:szCs w:val="24"/>
                <w:shd w:fill="f2f4f9" w:val="clear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shd w:fill="f2f4f9" w:val="clear"/>
                  <w:rtl w:val="0"/>
                </w:rPr>
                <w:t xml:space="preserve">See Safety Information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spacing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/>
              <w:drawing>
                <wp:inline distB="114300" distT="114300" distL="114300" distR="114300">
                  <wp:extent cx="2838450" cy="1536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383838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83838"/>
                <w:sz w:val="27"/>
                <w:szCs w:val="27"/>
                <w:rtl w:val="0"/>
              </w:rPr>
              <w:t xml:space="preserve">Request a Product Representative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383838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383838"/>
                <w:sz w:val="27"/>
                <w:szCs w:val="27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highlight w:val="white"/>
                <w:rtl w:val="0"/>
              </w:rPr>
              <w:t xml:space="preserve">Have a product question? Request a call from your product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rtl w:val="0"/>
                </w:rPr>
                <w:t xml:space="preserve">Request a 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Cards2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47bb"/>
                <w:sz w:val="27"/>
                <w:szCs w:val="27"/>
                <w:rtl w:val="0"/>
              </w:rPr>
              <w:t xml:space="preserve">Explore Our Coverage and Patient Support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Assisting with access and affordability for patients prescribed CIBINQO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3838"/>
                <w:sz w:val="24"/>
                <w:szCs w:val="24"/>
                <w:shd w:fill="f2f4f9" w:val="clear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shd w:fill="f2f4f9" w:val="clear"/>
                  <w:rtl w:val="0"/>
                </w:rPr>
                <w:t xml:space="preserve">Start Now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47bb"/>
                <w:sz w:val="27"/>
                <w:szCs w:val="27"/>
                <w:rtl w:val="0"/>
              </w:rPr>
              <w:t xml:space="preserve">Copay Savings Card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47b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color w:val="383838"/>
                <w:sz w:val="24"/>
                <w:szCs w:val="24"/>
                <w:shd w:fill="f2f4f9" w:val="clear"/>
                <w:rtl w:val="0"/>
              </w:rPr>
              <w:t xml:space="preserve">Help eligible, commercially insured patients with access to co-pay savings*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838"/>
                <w:sz w:val="24"/>
                <w:szCs w:val="24"/>
                <w:shd w:fill="f2f4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3838"/>
                <w:sz w:val="21"/>
                <w:szCs w:val="21"/>
                <w:shd w:fill="f2f4f9" w:val="clear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shd w:fill="f2f4f9" w:val="clear"/>
                  <w:rtl w:val="0"/>
                </w:rPr>
                <w:t xml:space="preserve">See Savings Offer and Terms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3838"/>
                <w:sz w:val="21"/>
                <w:szCs w:val="21"/>
                <w:shd w:fill="f2f4f9" w:val="clear"/>
              </w:rPr>
            </w:pPr>
            <w:r w:rsidDel="00000000" w:rsidR="00000000" w:rsidRPr="00000000">
              <w:rPr>
                <w:color w:val="383838"/>
                <w:sz w:val="21"/>
                <w:szCs w:val="21"/>
                <w:shd w:fill="f2f4f9" w:val="clear"/>
                <w:rtl w:val="0"/>
              </w:rPr>
              <w:t xml:space="preserve">*Limits, terms, and conditions apply.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AD=atopic dermatitis; EASI-75= ≥75% improvement in lesion extent and severity from baseline on the Eczema Area and Severity Index; PP-NRS4= ≥4-point reduction from baseline on the Peak Pruritus Numerical Rating Scale.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oeys47q3gme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Reference: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color w:val="383838"/>
          <w:sz w:val="18"/>
          <w:szCs w:val="18"/>
          <w:u w:val="none"/>
        </w:rPr>
      </w:pPr>
      <w:r w:rsidDel="00000000" w:rsidR="00000000" w:rsidRPr="00000000">
        <w:rPr>
          <w:color w:val="383838"/>
          <w:sz w:val="18"/>
          <w:szCs w:val="18"/>
          <w:rtl w:val="0"/>
        </w:rPr>
        <w:t xml:space="preserve">CIBINQO Package insert. Pfizer Inc; 2023.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| Helix Project Boilerplate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this template repository as the starting point for new Helix projects.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ibinqo.pfizerpro.com/savings-and-support/request-an-erep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cibinqo.pfizerpro.com/savings-and-support/downloadable-copay-card" TargetMode="External"/><Relationship Id="rId12" Type="http://schemas.openxmlformats.org/officeDocument/2006/relationships/hyperlink" Target="https://cibinqo.pfizerpro.com/savings-and-support/ac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binqo.pfizerpro.com/safety/safety-profile/safety-tolerabilit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ibinqo.pfizerpro.com/efficacy/monotherapy-trial-results-2/skin-clearance" TargetMode="External"/><Relationship Id="rId8" Type="http://schemas.openxmlformats.org/officeDocument/2006/relationships/hyperlink" Target="https://cibinqo.pfizerpro.com/dosing-monitoring/do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