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JCE-TB-T026 Rev D (Final)</w:t>
            </w:r>
          </w:p>
        </w:tc>
      </w:tr>
      <w:tr>
        <w:trPr>
          <w:cantSplit/>
        </w:trPr>
        <w:tc>
          <w:tcPr>
            <w:tcW w:type="dxa" w:w="1361"/>
          </w:tcPr>
          <w:p>
            <w:pPr>
              <w:keepNext/>
            </w:pPr>
            <w:r/>
            <w:r>
              <w:rPr>
                <w:sz w:val="19"/>
              </w:rPr>
              <w:t>To</w:t>
            </w:r>
          </w:p>
        </w:tc>
        <w:tc>
          <w:tcPr>
            <w:tcW w:type="dxa" w:w="3402"/>
          </w:tcPr>
          <w:p>
            <w:pPr>
              <w:keepNext/>
            </w:pPr>
            <w:r/>
            <w:r>
              <w:rPr>
                <w:sz w:val="19"/>
              </w:rPr>
              <w:t>Brewster Hjorth Architects</w:t>
            </w:r>
          </w:p>
        </w:tc>
        <w:tc>
          <w:tcPr>
            <w:tcW w:type="dxa" w:w="1701"/>
          </w:tcPr>
          <w:p>
            <w:pPr>
              <w:keepNext/>
            </w:pPr>
            <w:r/>
            <w:r>
              <w:rPr>
                <w:sz w:val="19"/>
              </w:rPr>
              <w:t>Attention</w:t>
            </w:r>
          </w:p>
        </w:tc>
        <w:tc>
          <w:tcPr>
            <w:tcW w:type="dxa" w:w="3175"/>
          </w:tcPr>
          <w:p>
            <w:pPr>
              <w:keepNext/>
            </w:pPr>
            <w:r/>
            <w:r>
              <w:rPr>
                <w:sz w:val="19"/>
              </w:rPr>
              <w:t>Directors</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Directors,</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$39,990</w:t>
            </w:r>
          </w:p>
        </w:tc>
        <w:tc>
          <w:tcPr>
            <w:tcW w:type="dxa" w:w="1361"/>
          </w:tcPr>
          <w:p>
            <w:pPr>
              <w:keepNext/>
            </w:pPr>
            <w:r/>
            <w:r>
              <w:rPr>
                <w:sz w:val="19"/>
              </w:rPr>
              <w:t>$19,980</w:t>
            </w:r>
          </w:p>
        </w:tc>
        <w:tc>
          <w:tcPr>
            <w:tcW w:type="dxa" w:w="1361"/>
          </w:tcPr>
          <w:p>
            <w:pPr>
              <w:keepNext/>
            </w:pPr>
            <w:r/>
            <w:r>
              <w:rPr>
                <w:sz w:val="19"/>
              </w:rPr>
              <w:t>$28,740</w:t>
            </w:r>
          </w:p>
        </w:tc>
        <w:tc>
          <w:tcPr>
            <w:tcW w:type="dxa" w:w="1361"/>
          </w:tcPr>
          <w:p>
            <w:pPr>
              <w:keepNext/>
            </w:pPr>
            <w:r/>
            <w:r>
              <w:rPr>
                <w:sz w:val="19"/>
              </w:rPr>
              <w:t>$15,460</w:t>
            </w:r>
          </w:p>
        </w:tc>
        <w:tc>
          <w:tcPr>
            <w:tcW w:type="dxa" w:w="1814"/>
          </w:tcPr>
          <w:p>
            <w:pPr>
              <w:keepNext/>
            </w:pPr>
            <w:r/>
            <w:r>
              <w:rPr>
                <w:sz w:val="19"/>
              </w:rPr>
              <w:t>$104,170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Sunny Lotay, Associate Principal Engineer (RPEQ, NER), Lotay Civil</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civil total includes a $3,520 associate review and certification allowance for Sunny Lotay (16 hours at $200 per hour plus JCE's 10% sub-consultant margin). 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RAAF Base Townsville, Defence delivery project: engineering delivery for CPB Contractors (head contractor). Referee: Maverick Partner, CPB Contractors.</w:t>
      </w:r>
    </w:p>
    <w:p>
      <w:pPr>
        <w:pStyle w:val="ListBullet"/>
        <w:spacing w:after="40"/>
      </w:pPr>
      <w:r>
        <w:rPr>
          <w:sz w:val="21"/>
        </w:rPr>
        <w:t>Tablelands Regional Council (QLD), delivered by Jayden while at Langtrees: floodway rectification on Council's road network, and a landfill leachate storage facility, relevant to the containment and liner interfaces on this site. Referee: Darren Quilliam, Tablelands Regional Council.</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Sunny Lotay, Associate Principal Engineer (RPEQ, NER), Lotay Civil, is engaged by JCE under a standing associate agreement as technical reviewer and certifying engineer. On this commission Sunny will review the civil design before each major issue, certify the civil design, provide construction-stage certification and act as backup project lead. Livio Chiarot FIEAust (SCP Consulting) will carry out independent peer review of the levels, earthworks and stormwater design before each major milestone. This is NSW work for a Class 9b building; RPEQ does not apply and the tender does not ask for a particular engineering registration.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