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i w:val="0"/>
          <w:color w:val="1F3A5F"/>
          <w:sz w:val="36"/>
        </w:rPr>
        <w:t>JCE Infrastructure Pty Ltd</w:t>
      </w:r>
    </w:p>
    <w:p>
      <w:pPr>
        <w:keepNext w:val="0"/>
        <w:spacing w:after="0"/>
      </w:pPr>
      <w:r>
        <w:rPr>
          <w:b w:val="0"/>
          <w:i w:val="0"/>
          <w:color w:val="1F3A5F"/>
          <w:sz w:val="20"/>
        </w:rPr>
        <w:t>Civil and Hydraulic Engineering</w:t>
      </w:r>
    </w:p>
    <w:p>
      <w:pPr>
        <w:keepNext w:val="0"/>
        <w:spacing w:after="120"/>
        <w:pBdr>
          <w:bottom w:val="single" w:sz="8" w:space="1" w:color="1F3A5F"/>
        </w:pBdr>
      </w:pPr>
      <w:r>
        <w:rPr>
          <w:b w:val="0"/>
          <w:i w:val="0"/>
          <w:sz w:val="18"/>
        </w:rPr>
        <w:t>ABN 29 699 165 663   |   0477 207 027   |   jayden@jceinfrastructure.com.au</w:t>
      </w:r>
    </w:p>
    <w:p>
      <w:pPr>
        <w:keepNext w:val="0"/>
        <w:spacing w:after="40"/>
      </w:pPr>
      <w:r>
        <w:rPr>
          <w:b/>
          <w:i w:val="0"/>
          <w:color w:val="1F3A5F"/>
          <w:sz w:val="28"/>
        </w:rPr>
        <w:t>Teaming Brief: Civil Engineering (and optional Hydraulic Services)</w:t>
      </w:r>
    </w:p>
    <w:p>
      <w:pPr>
        <w:keepNext w:val="0"/>
        <w:spacing w:after="160"/>
      </w:pPr>
      <w:r>
        <w:rPr>
          <w:b/>
          <w:i w:val="0"/>
          <w:sz w:val="22"/>
        </w:rPr>
        <w:t>Camden Council RFT T026/2026, Design Consultancy Services, Leppington Community Centre Precinct</w:t>
      </w:r>
    </w:p>
    <w:tbl>
      <w:tblPr>
        <w:tblStyle w:val="TableGrid"/>
        <w:tblW w:type="auto" w:w="0"/>
        <w:tblLayout w:type="fixed"/>
        <w:tblLook w:firstColumn="1" w:firstRow="1" w:lastColumn="0" w:lastRow="0" w:noHBand="0" w:noVBand="1" w:val="04A0"/>
      </w:tblPr>
      <w:tblGrid>
        <w:gridCol w:w="1360"/>
        <w:gridCol w:w="3402"/>
        <w:gridCol w:w="1701"/>
        <w:gridCol w:w="3175"/>
      </w:tblGrid>
      <w:tr>
        <w:trPr>
          <w:cantSplit/>
        </w:trPr>
        <w:tc>
          <w:tcPr>
            <w:tcW w:type="dxa" w:w="1361"/>
          </w:tcPr>
          <w:p>
            <w:pPr>
              <w:keepNext/>
            </w:pPr>
            <w:r/>
            <w:r>
              <w:rPr>
                <w:sz w:val="19"/>
              </w:rPr>
              <w:t>Date</w:t>
            </w:r>
          </w:p>
        </w:tc>
        <w:tc>
          <w:tcPr>
            <w:tcW w:type="dxa" w:w="3402"/>
          </w:tcPr>
          <w:p>
            <w:pPr>
              <w:keepNext/>
            </w:pPr>
            <w:r/>
            <w:r>
              <w:rPr>
                <w:sz w:val="19"/>
              </w:rPr>
              <w:t>12/10/2026</w:t>
            </w:r>
          </w:p>
        </w:tc>
        <w:tc>
          <w:tcPr>
            <w:tcW w:type="dxa" w:w="1701"/>
          </w:tcPr>
          <w:p>
            <w:pPr>
              <w:keepNext/>
            </w:pPr>
            <w:r/>
            <w:r>
              <w:rPr>
                <w:sz w:val="19"/>
              </w:rPr>
              <w:t>Reference</w:t>
            </w:r>
          </w:p>
        </w:tc>
        <w:tc>
          <w:tcPr>
            <w:tcW w:type="dxa" w:w="3175"/>
          </w:tcPr>
          <w:p>
            <w:pPr>
              <w:keepNext/>
            </w:pPr>
            <w:r/>
            <w:r>
              <w:rPr>
                <w:sz w:val="19"/>
              </w:rPr>
              <w:t>JCE-TB-T026 Rev C (Final)</w:t>
            </w:r>
          </w:p>
        </w:tc>
      </w:tr>
      <w:tr>
        <w:trPr>
          <w:cantSplit/>
        </w:trPr>
        <w:tc>
          <w:tcPr>
            <w:tcW w:type="dxa" w:w="1361"/>
          </w:tcPr>
          <w:p>
            <w:pPr>
              <w:keepNext/>
            </w:pPr>
            <w:r/>
            <w:r>
              <w:rPr>
                <w:sz w:val="19"/>
              </w:rPr>
              <w:t>To</w:t>
            </w:r>
          </w:p>
        </w:tc>
        <w:tc>
          <w:tcPr>
            <w:tcW w:type="dxa" w:w="3402"/>
          </w:tcPr>
          <w:p>
            <w:pPr>
              <w:keepNext/>
            </w:pPr>
            <w:r/>
            <w:r>
              <w:rPr>
                <w:sz w:val="19"/>
              </w:rPr>
              <w:t>Carter Williamson Architects</w:t>
            </w:r>
          </w:p>
        </w:tc>
        <w:tc>
          <w:tcPr>
            <w:tcW w:type="dxa" w:w="1701"/>
          </w:tcPr>
          <w:p>
            <w:pPr>
              <w:keepNext/>
            </w:pPr>
            <w:r/>
            <w:r>
              <w:rPr>
                <w:sz w:val="19"/>
              </w:rPr>
              <w:t>Attention</w:t>
            </w:r>
          </w:p>
        </w:tc>
        <w:tc>
          <w:tcPr>
            <w:tcW w:type="dxa" w:w="3175"/>
          </w:tcPr>
          <w:p>
            <w:pPr>
              <w:keepNext/>
            </w:pPr>
            <w:r/>
            <w:r>
              <w:rPr>
                <w:sz w:val="19"/>
              </w:rPr>
              <w:t>Directors</w:t>
            </w:r>
          </w:p>
        </w:tc>
      </w:tr>
      <w:tr>
        <w:trPr>
          <w:cantSplit/>
        </w:trPr>
        <w:tc>
          <w:tcPr>
            <w:tcW w:type="dxa" w:w="1361"/>
          </w:tcPr>
          <w:p>
            <w:pPr>
              <w:keepNext/>
            </w:pPr>
            <w:r/>
            <w:r>
              <w:rPr>
                <w:sz w:val="19"/>
              </w:rPr>
              <w:t>From</w:t>
            </w:r>
          </w:p>
        </w:tc>
        <w:tc>
          <w:tcPr>
            <w:tcW w:type="dxa" w:w="3402"/>
          </w:tcPr>
          <w:p>
            <w:pPr>
              <w:keepNext/>
            </w:pPr>
            <w:r/>
            <w:r>
              <w:rPr>
                <w:sz w:val="19"/>
              </w:rPr>
              <w:t>Jayden Callen, Director</w:t>
            </w:r>
          </w:p>
        </w:tc>
        <w:tc>
          <w:tcPr>
            <w:tcW w:type="dxa" w:w="1701"/>
          </w:tcPr>
          <w:p>
            <w:pPr>
              <w:keepNext/>
            </w:pPr>
            <w:r/>
            <w:r>
              <w:rPr>
                <w:sz w:val="19"/>
              </w:rPr>
              <w:t>Tender closes</w:t>
            </w:r>
          </w:p>
        </w:tc>
        <w:tc>
          <w:tcPr>
            <w:tcW w:type="dxa" w:w="3175"/>
          </w:tcPr>
          <w:p>
            <w:pPr>
              <w:keepNext/>
            </w:pPr>
            <w:r/>
            <w:r>
              <w:rPr>
                <w:sz w:val="19"/>
              </w:rPr>
              <w:t>Wed 04/11/2026, 3:00pm (buy.nsw)</w:t>
            </w:r>
          </w:p>
        </w:tc>
      </w:tr>
      <w:tr>
        <w:trPr>
          <w:cantSplit/>
        </w:trPr>
        <w:tc>
          <w:tcPr>
            <w:tcW w:type="dxa" w:w="1361"/>
          </w:tcPr>
          <w:p>
            <w:pPr>
              <w:keepNext/>
            </w:pPr>
            <w:r/>
            <w:r>
              <w:rPr>
                <w:sz w:val="19"/>
              </w:rPr>
              <w:t>Site</w:t>
            </w:r>
          </w:p>
        </w:tc>
        <w:tc>
          <w:tcPr>
            <w:tcW w:type="dxa" w:w="3402"/>
          </w:tcPr>
          <w:p>
            <w:pPr>
              <w:keepNext/>
            </w:pPr>
            <w:r/>
            <w:r>
              <w:rPr>
                <w:sz w:val="19"/>
              </w:rPr>
              <w:t>116 Heath Road, Leppington NSW 2179</w:t>
            </w:r>
          </w:p>
        </w:tc>
        <w:tc>
          <w:tcPr>
            <w:tcW w:type="dxa" w:w="1701"/>
          </w:tcPr>
          <w:p>
            <w:pPr>
              <w:keepNext/>
            </w:pPr>
            <w:r/>
            <w:r>
              <w:rPr>
                <w:sz w:val="19"/>
              </w:rPr>
              <w:t>Please reply by</w:t>
            </w:r>
          </w:p>
        </w:tc>
        <w:tc>
          <w:tcPr>
            <w:tcW w:type="dxa" w:w="3175"/>
          </w:tcPr>
          <w:p>
            <w:pPr>
              <w:keepNext/>
            </w:pPr>
            <w:r/>
            <w:r>
              <w:rPr>
                <w:sz w:val="19"/>
              </w:rPr>
              <w:t>Fri 16/10/2026</w:t>
            </w:r>
          </w:p>
        </w:tc>
      </w:tr>
    </w:tbl>
    <w:p>
      <w:pPr>
        <w:spacing w:after="40"/>
      </w:pPr>
    </w:p>
    <w:p>
      <w:pPr>
        <w:keepNext w:val="0"/>
        <w:spacing w:after="120"/>
      </w:pPr>
      <w:r>
        <w:rPr>
          <w:b w:val="0"/>
          <w:i w:val="0"/>
          <w:sz w:val="21"/>
        </w:rPr>
        <w:t>Dear Directors,</w:t>
      </w:r>
    </w:p>
    <w:p>
      <w:pPr>
        <w:keepNext w:val="0"/>
        <w:spacing w:after="120"/>
      </w:pPr>
      <w:r>
        <w:rPr>
          <w:b w:val="0"/>
          <w:i w:val="0"/>
          <w:sz w:val="21"/>
        </w:rPr>
        <w:t>Camden Council has an open tender on buy.nsw for an architect-led design team for the Leppington Community Centre Precinct. The brief requires a Civil Engineer in the Lead Design Consultant's team. JCE Infrastructure would like to join your bid as civil engineer, and as hydraulic engineer if that suits your team. This brief sets out what JCE will provide, the basis of our fee and what we need from you.</w:t>
      </w:r>
    </w:p>
    <w:p>
      <w:pPr>
        <w:keepNext w:val="0"/>
        <w:spacing w:after="120"/>
      </w:pPr>
      <w:r>
        <w:rPr>
          <w:b w:val="0"/>
          <w:i w:val="0"/>
          <w:sz w:val="21"/>
        </w:rPr>
        <w:t>This brief is not an offer to contract. JCE's engagement depends on your team being awarded the contract by Camden Council and on a sub-consultant agreement being signed after award.</w:t>
      </w:r>
    </w:p>
    <w:p>
      <w:pPr>
        <w:keepNext/>
        <w:spacing w:after="60" w:before="200"/>
      </w:pPr>
      <w:r>
        <w:rPr>
          <w:b/>
          <w:i w:val="0"/>
          <w:color w:val="1F3A5F"/>
          <w:sz w:val="24"/>
        </w:rPr>
        <w:t>1. Project and tender</w:t>
      </w:r>
    </w:p>
    <w:p>
      <w:pPr>
        <w:pStyle w:val="ListBullet"/>
        <w:spacing w:after="40"/>
      </w:pPr>
      <w:r>
        <w:rPr>
          <w:b w:val="0"/>
          <w:sz w:val="21"/>
        </w:rPr>
        <w:t xml:space="preserve">Client and tender: </w:t>
      </w:r>
      <w:r>
        <w:rPr>
          <w:sz w:val="21"/>
        </w:rPr>
        <w:t>Camden Council, RFT T026/2026 (open tender). Lodgement on buy.nsw or in the Council tender box at 70 Central Avenue, Oran Park by Wed 04/11/2026, 3:00pm. Questions to Council close Wed 28/10/2026, 3:00pm (buy.nsw Q&amp;A). The non-mandatory site briefing was held on 09/10/2026.</w:t>
      </w:r>
    </w:p>
    <w:p>
      <w:pPr>
        <w:pStyle w:val="ListBullet"/>
        <w:spacing w:after="40"/>
      </w:pPr>
      <w:r>
        <w:rPr>
          <w:b w:val="0"/>
          <w:sz w:val="21"/>
        </w:rPr>
        <w:t xml:space="preserve">Scope: </w:t>
      </w:r>
      <w:r>
        <w:rPr>
          <w:sz w:val="21"/>
        </w:rPr>
        <w:t>an architect-led team (the Lead Design Consultant must be an architect) to design a community centre of about 485 m2 in three zones, with an arrival plaza, car park, shared paths, outdoor event spaces and landscape, on a precinct of about 12,000 m2 at the corner of Heath Road and Rickard Road (Addendum 2).</w:t>
      </w:r>
    </w:p>
    <w:p>
      <w:pPr>
        <w:pStyle w:val="ListBullet"/>
        <w:spacing w:after="40"/>
      </w:pPr>
      <w:r>
        <w:rPr>
          <w:b w:val="0"/>
          <w:sz w:val="21"/>
        </w:rPr>
        <w:t xml:space="preserve">Budget and staging: </w:t>
      </w:r>
      <w:r>
        <w:rPr>
          <w:sz w:val="21"/>
        </w:rPr>
        <w:t>$10.0 million total project budget, including fees. Early Bulk Earthworks package for on-site contamination containment (separate DA), then Stage 1 and Stage 2. Concept design covers the whole facility; detailed design and tender documentation cover Stage 1 only (Addendum 1).</w:t>
      </w:r>
    </w:p>
    <w:p>
      <w:pPr>
        <w:pStyle w:val="ListBullet"/>
        <w:spacing w:after="40"/>
      </w:pPr>
      <w:r>
        <w:rPr>
          <w:b w:val="0"/>
          <w:sz w:val="21"/>
        </w:rPr>
        <w:t xml:space="preserve">Team required (Vol 4 s12): </w:t>
      </w:r>
      <w:r>
        <w:rPr>
          <w:sz w:val="21"/>
        </w:rPr>
        <w:t>architect, landscape, civil, structural, services, BCA and access, acoustics, traffic, wayfinding, Section J, planner, QS (mandatory) and PCA (fee mandatory, Addendum 1). Sub-consultants are engaged on the same conditions as the head contract (amended AS 4122-2010).</w:t>
      </w:r>
    </w:p>
    <w:p>
      <w:pPr>
        <w:pStyle w:val="ListBullet"/>
        <w:spacing w:after="40"/>
      </w:pPr>
      <w:r>
        <w:rPr>
          <w:b w:val="0"/>
          <w:sz w:val="21"/>
        </w:rPr>
        <w:t xml:space="preserve">Program (Vol 4 s8): </w:t>
      </w:r>
      <w:r>
        <w:rPr>
          <w:sz w:val="21"/>
        </w:rPr>
        <w:t>concept and design development March 2027; Early Earthworks DA April 2027; 50% May 2027; 80% July 2027; earthworks tender August 2027; 100% September 2027; construction January to December 2028.</w:t>
      </w:r>
    </w:p>
    <w:p>
      <w:pPr>
        <w:pStyle w:val="ListBullet"/>
        <w:spacing w:after="40"/>
      </w:pPr>
      <w:r>
        <w:rPr>
          <w:b w:val="0"/>
          <w:sz w:val="21"/>
        </w:rPr>
        <w:t xml:space="preserve">Evaluation (Vol 2 cl 14): </w:t>
      </w:r>
      <w:r>
        <w:rPr>
          <w:sz w:val="21"/>
        </w:rPr>
        <w:t>compliance, price, relevant experience, referees, sub-consultants, capacity, program, methodology, insurances and contribution to the Camden LGA. Council has not published weightings.</w:t>
      </w:r>
    </w:p>
    <w:p>
      <w:pPr>
        <w:keepNext/>
        <w:spacing w:after="60" w:before="200"/>
      </w:pPr>
      <w:r>
        <w:rPr>
          <w:b/>
          <w:i w:val="0"/>
          <w:color w:val="1F3A5F"/>
          <w:sz w:val="24"/>
        </w:rPr>
        <w:t>2. Civil services JCE will provide</w:t>
      </w:r>
    </w:p>
    <w:p>
      <w:pPr>
        <w:keepNext w:val="0"/>
        <w:spacing w:after="80"/>
      </w:pPr>
      <w:r>
        <w:rPr>
          <w:b w:val="0"/>
          <w:i w:val="0"/>
          <w:sz w:val="21"/>
        </w:rPr>
        <w:t>Aligned to the four phases of RFT Schedule 3. JCE will hold one Civil 3D model of the existing surface, finished levels, containment cells and drainage from concept to tender, so the DA package, cost plan and tender drawings use the same levels and quantities.</w:t>
      </w:r>
    </w:p>
    <w:p>
      <w:pPr>
        <w:pStyle w:val="ListBullet"/>
        <w:spacing w:after="40"/>
      </w:pPr>
      <w:r>
        <w:rPr>
          <w:b w:val="0"/>
          <w:sz w:val="21"/>
        </w:rPr>
        <w:t xml:space="preserve">Phase 1, concept and design development: </w:t>
      </w:r>
      <w:r>
        <w:rPr>
          <w:sz w:val="21"/>
        </w:rPr>
        <w:t>levels and bulk earthworks strategy around the containment cells and capping, the creek-side retaining interface, the raised Heath Road and the future Rickard Road widening; stormwater strategy (catchments, OSD check, WSUD and MUSIC-Link); civil input to at least three layout options and the staging options; Early Bulk Earthworks DA package (civil drawings, ESCP, civil and stormwater report).</w:t>
      </w:r>
    </w:p>
    <w:p>
      <w:pPr>
        <w:pStyle w:val="ListBullet"/>
        <w:spacing w:after="40"/>
      </w:pPr>
      <w:r>
        <w:rPr>
          <w:b w:val="0"/>
          <w:sz w:val="21"/>
        </w:rPr>
        <w:t xml:space="preserve">Phase 2, 50% detailed design (Stage 1): </w:t>
      </w:r>
      <w:r>
        <w:rPr>
          <w:sz w:val="21"/>
        </w:rPr>
        <w:t>DRAINS pit and pipe design, roof-water tie-in, pavement design and accessible grading of the car park, arrival plaza and shared paths (AS 1428.1, AS/NZS 2890.1 and 2890.6), 50% civil drawings, outline NATSPEC specification and quantities for the QS.</w:t>
      </w:r>
    </w:p>
    <w:p>
      <w:pPr>
        <w:pStyle w:val="ListBullet"/>
        <w:spacing w:after="40"/>
      </w:pPr>
      <w:r>
        <w:rPr>
          <w:b w:val="0"/>
          <w:sz w:val="21"/>
        </w:rPr>
        <w:t xml:space="preserve">Phase 3, 80% and 100% documentation: </w:t>
      </w:r>
      <w:r>
        <w:rPr>
          <w:sz w:val="21"/>
        </w:rPr>
        <w:t>80% and 100% civil tender drawings for Stage 1, Early Bulk Earthworks tender package, NATSPEC civil specification, civil design report, quantities for the QS, clash resolution day, tender RFI responses and civil design certification.</w:t>
      </w:r>
    </w:p>
    <w:p>
      <w:pPr>
        <w:pStyle w:val="ListBullet"/>
        <w:spacing w:after="40"/>
      </w:pPr>
      <w:r>
        <w:rPr>
          <w:b w:val="0"/>
          <w:sz w:val="21"/>
        </w:rPr>
        <w:t xml:space="preserve">Phase 4, construction services: </w:t>
      </w:r>
      <w:r>
        <w:rPr>
          <w:sz w:val="21"/>
        </w:rPr>
        <w:t>construction RFIs, shop drawing review, four site inspections with reports (earthworks and capping hold point, drainage before backfill, pavement subgrade, practical completion with defects list and one re-inspection), WAE review and civil certification.</w:t>
      </w:r>
    </w:p>
    <w:p>
      <w:pPr>
        <w:pStyle w:val="ListBullet"/>
        <w:spacing w:after="40"/>
      </w:pPr>
      <w:r>
        <w:rPr>
          <w:b w:val="0"/>
          <w:sz w:val="21"/>
        </w:rPr>
        <w:t xml:space="preserve">Optional hydraulic services: </w:t>
      </w:r>
      <w:r>
        <w:rPr>
          <w:sz w:val="21"/>
        </w:rPr>
        <w:t>sanitary drainage, cold and hot water, rainwater reuse and roof drainage for the building to AS/NZS 3500 and NCC Volume Three, with NATSPEC specification, two site inspections and certification. Fire services, the Sydney Water Section 73 application and ASP3 design are not included.</w:t>
      </w:r>
    </w:p>
    <w:p>
      <w:pPr>
        <w:keepNext w:val="0"/>
        <w:spacing w:after="80"/>
      </w:pPr>
      <w:r>
        <w:rPr>
          <w:b w:val="0"/>
          <w:i w:val="0"/>
          <w:sz w:val="21"/>
        </w:rPr>
        <w:t>Excluded (by others in your team or by Council): structural design of retaining walls, cell liners and capping; remediation design and the RAP; geotechnical investigation; new survey; Scalabrini Creek flood modelling and Project 5 works; Heath Road and Rickard Road design; WSC and ASP3 design; planning reports and authority fees.</w:t>
      </w:r>
    </w:p>
    <w:p>
      <w:pPr>
        <w:keepNext/>
        <w:spacing w:after="60" w:before="200"/>
      </w:pPr>
      <w:r>
        <w:rPr>
          <w:b/>
          <w:i w:val="0"/>
          <w:color w:val="1F3A5F"/>
          <w:sz w:val="24"/>
        </w:rPr>
        <w:t>3. Deliverables and formats</w:t>
      </w:r>
    </w:p>
    <w:p>
      <w:pPr>
        <w:keepNext w:val="0"/>
        <w:spacing w:after="80"/>
      </w:pPr>
      <w:r>
        <w:rPr>
          <w:b w:val="0"/>
          <w:i w:val="0"/>
          <w:sz w:val="21"/>
        </w:rPr>
        <w:t>As the brief requires: PDF at each milestone (one drawing per PDF, Camden numbering, revisions from A); DWG in GDA94 and GDA2020 at completion of detailed design and as-built; Word reports; NATSPEC-based specifications; civil input to the Safety in Design report. Design meetings online (fortnightly, as the brief anticipates) and one half-day site inspection in Phase 1.</w:t>
      </w:r>
    </w:p>
    <w:p>
      <w:pPr>
        <w:keepNext/>
        <w:spacing w:after="60" w:before="200"/>
      </w:pPr>
      <w:r>
        <w:rPr>
          <w:b/>
          <w:i w:val="0"/>
          <w:color w:val="1F3A5F"/>
          <w:sz w:val="24"/>
        </w:rPr>
        <w:t>4. Fee basis for your Schedule 3</w:t>
      </w:r>
    </w:p>
    <w:p>
      <w:pPr>
        <w:keepNext w:val="0"/>
        <w:spacing w:after="80"/>
      </w:pPr>
      <w:r>
        <w:rPr>
          <w:b w:val="0"/>
          <w:i w:val="0"/>
          <w:sz w:val="21"/>
        </w:rPr>
        <w:t>Lump sums ex GST by Schedule 3 phase. These are indicative and will be confirmed in JCE's final fee proposal on Wed 21/10/2026.</w:t>
      </w:r>
    </w:p>
    <w:tbl>
      <w:tblPr>
        <w:tblStyle w:val="TableGrid"/>
        <w:tblW w:type="auto" w:w="0"/>
        <w:tblLayout w:type="fixed"/>
        <w:tblLook w:firstColumn="1" w:firstRow="1" w:lastColumn="0" w:lastRow="0" w:noHBand="0" w:noVBand="1" w:val="04A0"/>
      </w:tblPr>
      <w:tblGrid>
        <w:gridCol w:w="2268"/>
        <w:gridCol w:w="1360"/>
        <w:gridCol w:w="1360"/>
        <w:gridCol w:w="1360"/>
        <w:gridCol w:w="1360"/>
        <w:gridCol w:w="1814"/>
      </w:tblGrid>
      <w:tr>
        <w:trPr>
          <w:cantSplit/>
        </w:trPr>
        <w:tc>
          <w:tcPr>
            <w:tcW w:type="dxa" w:w="2268"/>
          </w:tcPr>
          <w:p>
            <w:pPr>
              <w:keepNext/>
            </w:pPr>
            <w:r/>
            <w:r>
              <w:rPr>
                <w:b/>
                <w:sz w:val="19"/>
              </w:rPr>
              <w:t>Schedule 3 row</w:t>
            </w:r>
          </w:p>
        </w:tc>
        <w:tc>
          <w:tcPr>
            <w:tcW w:type="dxa" w:w="1361"/>
          </w:tcPr>
          <w:p>
            <w:pPr>
              <w:keepNext/>
            </w:pPr>
            <w:r/>
            <w:r>
              <w:rPr>
                <w:b/>
                <w:sz w:val="19"/>
              </w:rPr>
              <w:t>Phase 1</w:t>
            </w:r>
          </w:p>
        </w:tc>
        <w:tc>
          <w:tcPr>
            <w:tcW w:type="dxa" w:w="1361"/>
          </w:tcPr>
          <w:p>
            <w:pPr>
              <w:keepNext/>
            </w:pPr>
            <w:r/>
            <w:r>
              <w:rPr>
                <w:b/>
                <w:sz w:val="19"/>
              </w:rPr>
              <w:t>Phase 2</w:t>
            </w:r>
          </w:p>
        </w:tc>
        <w:tc>
          <w:tcPr>
            <w:tcW w:type="dxa" w:w="1361"/>
          </w:tcPr>
          <w:p>
            <w:pPr>
              <w:keepNext/>
            </w:pPr>
            <w:r/>
            <w:r>
              <w:rPr>
                <w:b/>
                <w:sz w:val="19"/>
              </w:rPr>
              <w:t>Phase 3</w:t>
            </w:r>
          </w:p>
        </w:tc>
        <w:tc>
          <w:tcPr>
            <w:tcW w:type="dxa" w:w="1361"/>
          </w:tcPr>
          <w:p>
            <w:pPr>
              <w:keepNext/>
            </w:pPr>
            <w:r/>
            <w:r>
              <w:rPr>
                <w:b/>
                <w:sz w:val="19"/>
              </w:rPr>
              <w:t>Phase 4</w:t>
            </w:r>
          </w:p>
        </w:tc>
        <w:tc>
          <w:tcPr>
            <w:tcW w:type="dxa" w:w="1814"/>
          </w:tcPr>
          <w:p>
            <w:pPr>
              <w:keepNext/>
            </w:pPr>
            <w:r/>
            <w:r>
              <w:rPr>
                <w:b/>
                <w:sz w:val="19"/>
              </w:rPr>
              <w:t>Total ex GST</w:t>
            </w:r>
          </w:p>
        </w:tc>
      </w:tr>
      <w:tr>
        <w:trPr>
          <w:cantSplit/>
        </w:trPr>
        <w:tc>
          <w:tcPr>
            <w:tcW w:type="dxa" w:w="2268"/>
          </w:tcPr>
          <w:p>
            <w:pPr>
              <w:keepNext/>
            </w:pPr>
            <w:r/>
            <w:r>
              <w:rPr>
                <w:sz w:val="19"/>
              </w:rPr>
              <w:t>Civil</w:t>
            </w:r>
          </w:p>
        </w:tc>
        <w:tc>
          <w:tcPr>
            <w:tcW w:type="dxa" w:w="1361"/>
          </w:tcPr>
          <w:p>
            <w:pPr>
              <w:keepNext/>
            </w:pPr>
            <w:r/>
            <w:r>
              <w:rPr>
                <w:sz w:val="19"/>
              </w:rPr>
              <w:t>$39,110</w:t>
            </w:r>
          </w:p>
        </w:tc>
        <w:tc>
          <w:tcPr>
            <w:tcW w:type="dxa" w:w="1361"/>
          </w:tcPr>
          <w:p>
            <w:pPr>
              <w:keepNext/>
            </w:pPr>
            <w:r/>
            <w:r>
              <w:rPr>
                <w:sz w:val="19"/>
              </w:rPr>
              <w:t>$19,100</w:t>
            </w:r>
          </w:p>
        </w:tc>
        <w:tc>
          <w:tcPr>
            <w:tcW w:type="dxa" w:w="1361"/>
          </w:tcPr>
          <w:p>
            <w:pPr>
              <w:keepNext/>
            </w:pPr>
            <w:r/>
            <w:r>
              <w:rPr>
                <w:sz w:val="19"/>
              </w:rPr>
              <w:t>$27,420</w:t>
            </w:r>
          </w:p>
        </w:tc>
        <w:tc>
          <w:tcPr>
            <w:tcW w:type="dxa" w:w="1361"/>
          </w:tcPr>
          <w:p>
            <w:pPr>
              <w:keepNext/>
            </w:pPr>
            <w:r/>
            <w:r>
              <w:rPr>
                <w:sz w:val="19"/>
              </w:rPr>
              <w:t>$15,020</w:t>
            </w:r>
          </w:p>
        </w:tc>
        <w:tc>
          <w:tcPr>
            <w:tcW w:type="dxa" w:w="1814"/>
          </w:tcPr>
          <w:p>
            <w:pPr>
              <w:keepNext/>
            </w:pPr>
            <w:r/>
            <w:r>
              <w:rPr>
                <w:sz w:val="19"/>
              </w:rPr>
              <w:t>$100,650</w:t>
            </w:r>
          </w:p>
        </w:tc>
      </w:tr>
      <w:tr>
        <w:trPr>
          <w:cantSplit/>
        </w:trPr>
        <w:tc>
          <w:tcPr>
            <w:tcW w:type="dxa" w:w="2268"/>
          </w:tcPr>
          <w:p>
            <w:pPr>
              <w:keepNext/>
            </w:pPr>
            <w:r/>
            <w:r>
              <w:rPr>
                <w:sz w:val="19"/>
              </w:rPr>
              <w:t>Hydraulics (optional)</w:t>
            </w:r>
          </w:p>
        </w:tc>
        <w:tc>
          <w:tcPr>
            <w:tcW w:type="dxa" w:w="1361"/>
          </w:tcPr>
          <w:p>
            <w:pPr>
              <w:keepNext/>
            </w:pPr>
            <w:r/>
            <w:r>
              <w:rPr>
                <w:sz w:val="19"/>
              </w:rPr>
              <w:t>$4,480</w:t>
            </w:r>
          </w:p>
        </w:tc>
        <w:tc>
          <w:tcPr>
            <w:tcW w:type="dxa" w:w="1361"/>
          </w:tcPr>
          <w:p>
            <w:pPr>
              <w:keepNext/>
            </w:pPr>
            <w:r/>
            <w:r>
              <w:rPr>
                <w:sz w:val="19"/>
              </w:rPr>
              <w:t>$7,580</w:t>
            </w:r>
          </w:p>
        </w:tc>
        <w:tc>
          <w:tcPr>
            <w:tcW w:type="dxa" w:w="1361"/>
          </w:tcPr>
          <w:p>
            <w:pPr>
              <w:keepNext/>
            </w:pPr>
            <w:r/>
            <w:r>
              <w:rPr>
                <w:sz w:val="19"/>
              </w:rPr>
              <w:t>$9,120</w:t>
            </w:r>
          </w:p>
        </w:tc>
        <w:tc>
          <w:tcPr>
            <w:tcW w:type="dxa" w:w="1361"/>
          </w:tcPr>
          <w:p>
            <w:pPr>
              <w:keepNext/>
            </w:pPr>
            <w:r/>
            <w:r>
              <w:rPr>
                <w:sz w:val="19"/>
              </w:rPr>
              <w:t>$6,320</w:t>
            </w:r>
          </w:p>
        </w:tc>
        <w:tc>
          <w:tcPr>
            <w:tcW w:type="dxa" w:w="1814"/>
          </w:tcPr>
          <w:p>
            <w:pPr>
              <w:keepNext/>
            </w:pPr>
            <w:r/>
            <w:r>
              <w:rPr>
                <w:sz w:val="19"/>
              </w:rPr>
              <w:t>$27,500</w:t>
            </w:r>
          </w:p>
        </w:tc>
      </w:tr>
    </w:tbl>
    <w:p>
      <w:pPr>
        <w:spacing w:after="40"/>
      </w:pPr>
    </w:p>
    <w:p>
      <w:pPr>
        <w:keepNext/>
        <w:spacing w:after="60"/>
      </w:pPr>
      <w:r>
        <w:rPr>
          <w:b w:val="0"/>
          <w:i w:val="0"/>
          <w:sz w:val="21"/>
        </w:rPr>
        <w:t>Schedule of rates for Schedule 3 (excl. GST). These are the rates used to build the lump sums.</w:t>
      </w:r>
    </w:p>
    <w:tbl>
      <w:tblPr>
        <w:tblStyle w:val="TableGrid"/>
        <w:tblW w:type="auto" w:w="0"/>
        <w:tblLayout w:type="fixed"/>
        <w:tblLook w:firstColumn="1" w:firstRow="1" w:lastColumn="0" w:lastRow="0" w:noHBand="0" w:noVBand="1" w:val="04A0"/>
      </w:tblPr>
      <w:tblGrid>
        <w:gridCol w:w="5103"/>
        <w:gridCol w:w="1984"/>
        <w:gridCol w:w="2551"/>
      </w:tblGrid>
      <w:tr>
        <w:trPr>
          <w:cantSplit/>
        </w:trPr>
        <w:tc>
          <w:tcPr>
            <w:tcW w:type="dxa" w:w="5102"/>
          </w:tcPr>
          <w:p>
            <w:pPr>
              <w:keepNext/>
            </w:pPr>
            <w:r/>
            <w:r>
              <w:rPr>
                <w:b/>
                <w:sz w:val="19"/>
              </w:rPr>
              <w:t>Key personnel</w:t>
            </w:r>
          </w:p>
        </w:tc>
        <w:tc>
          <w:tcPr>
            <w:tcW w:type="dxa" w:w="1984"/>
          </w:tcPr>
          <w:p>
            <w:pPr>
              <w:keepNext/>
            </w:pPr>
            <w:r/>
            <w:r>
              <w:rPr>
                <w:b/>
                <w:sz w:val="19"/>
              </w:rPr>
              <w:t>Hourly rate</w:t>
            </w:r>
          </w:p>
        </w:tc>
        <w:tc>
          <w:tcPr>
            <w:tcW w:type="dxa" w:w="2551"/>
          </w:tcPr>
          <w:p>
            <w:pPr>
              <w:keepNext/>
            </w:pPr>
            <w:r/>
            <w:r>
              <w:rPr>
                <w:b/>
                <w:sz w:val="19"/>
              </w:rPr>
              <w:t>Site inspection (fixed)</w:t>
            </w:r>
          </w:p>
        </w:tc>
      </w:tr>
      <w:tr>
        <w:trPr>
          <w:cantSplit/>
        </w:trPr>
        <w:tc>
          <w:tcPr>
            <w:tcW w:type="dxa" w:w="5102"/>
          </w:tcPr>
          <w:p>
            <w:pPr>
              <w:keepNext/>
            </w:pPr>
            <w:r/>
            <w:r>
              <w:rPr>
                <w:sz w:val="19"/>
              </w:rPr>
              <w:t>Jayden Callen, Director and Principal Civil Engineer</w:t>
            </w:r>
          </w:p>
        </w:tc>
        <w:tc>
          <w:tcPr>
            <w:tcW w:type="dxa" w:w="1984"/>
          </w:tcPr>
          <w:p>
            <w:pPr>
              <w:keepNext/>
            </w:pPr>
            <w:r/>
            <w:r>
              <w:rPr>
                <w:sz w:val="19"/>
              </w:rPr>
              <w:t>$200</w:t>
            </w:r>
          </w:p>
        </w:tc>
        <w:tc>
          <w:tcPr>
            <w:tcW w:type="dxa" w:w="2551"/>
          </w:tcPr>
          <w:p>
            <w:pPr>
              <w:keepNext/>
            </w:pPr>
            <w:r/>
            <w:r>
              <w:rPr>
                <w:sz w:val="19"/>
              </w:rPr>
              <w:t>$1,900</w:t>
            </w:r>
          </w:p>
        </w:tc>
      </w:tr>
      <w:tr>
        <w:trPr>
          <w:cantSplit/>
        </w:trPr>
        <w:tc>
          <w:tcPr>
            <w:tcW w:type="dxa" w:w="5102"/>
          </w:tcPr>
          <w:p>
            <w:pPr>
              <w:keepNext/>
            </w:pPr>
            <w:r/>
            <w:r>
              <w:rPr>
                <w:sz w:val="19"/>
              </w:rPr>
              <w:t>Independent peer review (Livio Chiarot FIEAust)</w:t>
            </w:r>
          </w:p>
        </w:tc>
        <w:tc>
          <w:tcPr>
            <w:tcW w:type="dxa" w:w="1984"/>
          </w:tcPr>
          <w:p>
            <w:pPr>
              <w:keepNext/>
            </w:pPr>
            <w:r/>
            <w:r>
              <w:rPr>
                <w:sz w:val="19"/>
              </w:rPr>
              <w:t>$200</w:t>
            </w:r>
          </w:p>
        </w:tc>
        <w:tc>
          <w:tcPr>
            <w:tcW w:type="dxa" w:w="2551"/>
          </w:tcPr>
          <w:p>
            <w:pPr>
              <w:keepNext/>
            </w:pPr>
            <w:r/>
            <w:r>
              <w:rPr>
                <w:sz w:val="19"/>
              </w:rPr>
              <w:t>N/A</w:t>
            </w:r>
          </w:p>
        </w:tc>
      </w:tr>
      <w:tr>
        <w:trPr>
          <w:cantSplit/>
        </w:trPr>
        <w:tc>
          <w:tcPr>
            <w:tcW w:type="dxa" w:w="5102"/>
          </w:tcPr>
          <w:p>
            <w:pPr>
              <w:keepNext/>
            </w:pPr>
            <w:r/>
            <w:r>
              <w:rPr>
                <w:sz w:val="19"/>
              </w:rPr>
              <w:t>Senior Engineer</w:t>
            </w:r>
          </w:p>
        </w:tc>
        <w:tc>
          <w:tcPr>
            <w:tcW w:type="dxa" w:w="1984"/>
          </w:tcPr>
          <w:p>
            <w:pPr>
              <w:keepNext/>
            </w:pPr>
            <w:r/>
            <w:r>
              <w:rPr>
                <w:sz w:val="19"/>
              </w:rPr>
              <w:t>$190</w:t>
            </w:r>
          </w:p>
        </w:tc>
        <w:tc>
          <w:tcPr>
            <w:tcW w:type="dxa" w:w="2551"/>
          </w:tcPr>
          <w:p>
            <w:pPr>
              <w:keepNext/>
            </w:pPr>
            <w:r/>
            <w:r>
              <w:rPr>
                <w:sz w:val="19"/>
              </w:rPr>
              <w:t>$1,900</w:t>
            </w:r>
          </w:p>
        </w:tc>
      </w:tr>
      <w:tr>
        <w:trPr>
          <w:cantSplit/>
        </w:trPr>
        <w:tc>
          <w:tcPr>
            <w:tcW w:type="dxa" w:w="5102"/>
          </w:tcPr>
          <w:p>
            <w:pPr>
              <w:keepNext/>
            </w:pPr>
            <w:r/>
            <w:r>
              <w:rPr>
                <w:sz w:val="19"/>
              </w:rPr>
              <w:t>Project Engineer</w:t>
            </w:r>
          </w:p>
        </w:tc>
        <w:tc>
          <w:tcPr>
            <w:tcW w:type="dxa" w:w="1984"/>
          </w:tcPr>
          <w:p>
            <w:pPr>
              <w:keepNext/>
            </w:pPr>
            <w:r/>
            <w:r>
              <w:rPr>
                <w:sz w:val="19"/>
              </w:rPr>
              <w:t>$180</w:t>
            </w:r>
          </w:p>
        </w:tc>
        <w:tc>
          <w:tcPr>
            <w:tcW w:type="dxa" w:w="2551"/>
          </w:tcPr>
          <w:p>
            <w:pPr>
              <w:keepNext/>
            </w:pPr>
            <w:r/>
            <w:r>
              <w:rPr>
                <w:sz w:val="19"/>
              </w:rPr>
              <w:t>$1,900</w:t>
            </w:r>
          </w:p>
        </w:tc>
      </w:tr>
      <w:tr>
        <w:trPr>
          <w:cantSplit/>
        </w:trPr>
        <w:tc>
          <w:tcPr>
            <w:tcW w:type="dxa" w:w="5102"/>
          </w:tcPr>
          <w:p>
            <w:pPr>
              <w:keepNext/>
            </w:pPr>
            <w:r/>
            <w:r>
              <w:rPr>
                <w:sz w:val="19"/>
              </w:rPr>
              <w:t>Design Engineer</w:t>
            </w:r>
          </w:p>
        </w:tc>
        <w:tc>
          <w:tcPr>
            <w:tcW w:type="dxa" w:w="1984"/>
          </w:tcPr>
          <w:p>
            <w:pPr>
              <w:keepNext/>
            </w:pPr>
            <w:r/>
            <w:r>
              <w:rPr>
                <w:sz w:val="19"/>
              </w:rPr>
              <w:t>$170</w:t>
            </w:r>
          </w:p>
        </w:tc>
        <w:tc>
          <w:tcPr>
            <w:tcW w:type="dxa" w:w="2551"/>
          </w:tcPr>
          <w:p>
            <w:pPr>
              <w:keepNext/>
            </w:pPr>
            <w:r/>
            <w:r>
              <w:rPr>
                <w:sz w:val="19"/>
              </w:rPr>
              <w:t>N/A</w:t>
            </w:r>
          </w:p>
        </w:tc>
      </w:tr>
      <w:tr>
        <w:trPr>
          <w:cantSplit/>
        </w:trPr>
        <w:tc>
          <w:tcPr>
            <w:tcW w:type="dxa" w:w="5102"/>
          </w:tcPr>
          <w:p>
            <w:pPr>
              <w:keepNext/>
            </w:pPr>
            <w:r/>
            <w:r>
              <w:rPr>
                <w:sz w:val="19"/>
              </w:rPr>
              <w:t>CAD / Drafting Technician</w:t>
            </w:r>
          </w:p>
        </w:tc>
        <w:tc>
          <w:tcPr>
            <w:tcW w:type="dxa" w:w="1984"/>
          </w:tcPr>
          <w:p>
            <w:pPr>
              <w:keepNext/>
            </w:pPr>
            <w:r/>
            <w:r>
              <w:rPr>
                <w:sz w:val="19"/>
              </w:rPr>
              <w:t>$160</w:t>
            </w:r>
          </w:p>
        </w:tc>
        <w:tc>
          <w:tcPr>
            <w:tcW w:type="dxa" w:w="2551"/>
          </w:tcPr>
          <w:p>
            <w:pPr>
              <w:keepNext/>
            </w:pPr>
            <w:r/>
            <w:r>
              <w:rPr>
                <w:sz w:val="19"/>
              </w:rPr>
              <w:t>N/A</w:t>
            </w:r>
          </w:p>
        </w:tc>
      </w:tr>
      <w:tr>
        <w:trPr>
          <w:cantSplit/>
        </w:trPr>
        <w:tc>
          <w:tcPr>
            <w:tcW w:type="dxa" w:w="5102"/>
          </w:tcPr>
          <w:p>
            <w:pPr>
              <w:keepNext/>
            </w:pPr>
            <w:r/>
            <w:r>
              <w:rPr>
                <w:sz w:val="19"/>
              </w:rPr>
              <w:t>Administration / Document Control</w:t>
            </w:r>
          </w:p>
        </w:tc>
        <w:tc>
          <w:tcPr>
            <w:tcW w:type="dxa" w:w="1984"/>
          </w:tcPr>
          <w:p>
            <w:pPr>
              <w:keepNext/>
            </w:pPr>
            <w:r/>
            <w:r>
              <w:rPr>
                <w:sz w:val="19"/>
              </w:rPr>
              <w:t>$140</w:t>
            </w:r>
          </w:p>
        </w:tc>
        <w:tc>
          <w:tcPr>
            <w:tcW w:type="dxa" w:w="2551"/>
          </w:tcPr>
          <w:p>
            <w:pPr>
              <w:keepNext/>
            </w:pPr>
            <w:r/>
            <w:r>
              <w:rPr>
                <w:sz w:val="19"/>
              </w:rPr>
              <w:t>N/A</w:t>
            </w:r>
          </w:p>
        </w:tc>
      </w:tr>
    </w:tbl>
    <w:p>
      <w:pPr>
        <w:spacing w:after="40"/>
      </w:pPr>
    </w:p>
    <w:p>
      <w:pPr>
        <w:keepNext w:val="0"/>
        <w:spacing w:after="80"/>
      </w:pPr>
      <w:r>
        <w:rPr>
          <w:b w:val="0"/>
          <w:i w:val="0"/>
          <w:sz w:val="21"/>
        </w:rPr>
        <w:t>The fixed site inspection fee of $1,900 covers travel from northern NSW, the inspection and a short report. Phase 4 includes four civil inspections (4 x $1,900) and the hydraulics option two (2 x $1,900). Provisional sums, only if required (excl. GST): PS1 supplementary detail survey $3,500; PS2 independent CPEng verification of retaining and containment-interface elements $2,500; total $6,000. JCE's offer will be valid for 120 days from the tender close of 04/11/2026 (to 04/03/2027), to match the head tender.</w:t>
      </w:r>
    </w:p>
    <w:p>
      <w:pPr>
        <w:keepNext/>
        <w:spacing w:after="60" w:before="200"/>
      </w:pPr>
      <w:r>
        <w:rPr>
          <w:b/>
          <w:i w:val="0"/>
          <w:color w:val="1F3A5F"/>
          <w:sz w:val="24"/>
        </w:rPr>
        <w:t>5. Team and experience</w:t>
      </w:r>
    </w:p>
    <w:p>
      <w:pPr>
        <w:keepNext w:val="0"/>
        <w:spacing w:after="60"/>
      </w:pPr>
      <w:r>
        <w:rPr>
          <w:b w:val="0"/>
          <w:i w:val="0"/>
          <w:sz w:val="21"/>
        </w:rPr>
        <w:t>Jayden Callen, Director and Principal Civil Engineer, BEng (Hons), MIEAust (EA 11036201), NER application in progress, will lead the civil design, sign it off and be your single point of contact. Jayden has worked in design management, coordinating several disciplines into one package to one program:</w:t>
      </w:r>
    </w:p>
    <w:p>
      <w:pPr>
        <w:pStyle w:val="ListBullet"/>
        <w:spacing w:after="40"/>
      </w:pPr>
      <w:r>
        <w:rPr>
          <w:sz w:val="21"/>
        </w:rPr>
        <w:t>Katherine Aquatics, Katherine NT (about $10 million, design and construct for Sitzler and Katherine Town Council): about 80 per cent of the civil design, including earthworks pads above the 1% AEP flood level, grading, pavements, stormwater and water quality.</w:t>
      </w:r>
    </w:p>
    <w:p>
      <w:pPr>
        <w:pStyle w:val="ListBullet"/>
        <w:spacing w:after="40"/>
      </w:pPr>
      <w:r>
        <w:rPr>
          <w:sz w:val="21"/>
        </w:rPr>
        <w:t>Lead BIM services coordinator, AIR7000 Phase 1B Triton Facilities, RAAF Base Tindal (about $250 million): combined consultant models in Civil 3D and Navisworks to clear stormwater and fire main clashes.</w:t>
      </w:r>
    </w:p>
    <w:p>
      <w:pPr>
        <w:pStyle w:val="ListBullet"/>
        <w:spacing w:after="40"/>
      </w:pPr>
      <w:r>
        <w:rPr>
          <w:sz w:val="21"/>
        </w:rPr>
        <w:t>Western Sydney International Airport Business Precinct Stage One (JCE, sub-consultant to Underscore Projects): design and delivery program for the SRM-01 sewer rising main and technical review of the contractor's pump station package.</w:t>
      </w:r>
    </w:p>
    <w:p>
      <w:pPr>
        <w:pStyle w:val="ListBullet"/>
        <w:spacing w:after="40"/>
      </w:pPr>
      <w:r>
        <w:rPr>
          <w:sz w:val="21"/>
        </w:rPr>
        <w:t>Client-side council experience: Jayden has shortlisted consultants for a council RFT in Far North Queensland, so he knows what a council panel looks for.</w:t>
      </w:r>
    </w:p>
    <w:p>
      <w:pPr>
        <w:keepNext w:val="0"/>
        <w:spacing w:after="80"/>
      </w:pPr>
      <w:r>
        <w:rPr>
          <w:b w:val="0"/>
          <w:i w:val="0"/>
          <w:sz w:val="21"/>
        </w:rPr>
        <w:t>Livio Chiarot FIEAust (SCP Consulting) will carry out independent peer review of the levels, earthworks and stormwater design before each major issue. This is NSW work for a Class 9b building, so RPEQ and Design and Building Practitioners registration do not apply. JCE's capability statement and Jayden's CV will be supplied for your Schedules 5 and 6.</w:t>
      </w:r>
    </w:p>
    <w:p>
      <w:pPr>
        <w:keepNext/>
        <w:spacing w:after="60" w:before="200"/>
      </w:pPr>
      <w:r>
        <w:rPr>
          <w:b/>
          <w:i w:val="0"/>
          <w:color w:val="1F3A5F"/>
          <w:sz w:val="24"/>
        </w:rPr>
        <w:t>6. Insurance, WHS and contract</w:t>
      </w:r>
    </w:p>
    <w:p>
      <w:pPr>
        <w:pStyle w:val="ListBullet"/>
        <w:spacing w:after="40"/>
      </w:pPr>
      <w:r>
        <w:rPr>
          <w:b w:val="0"/>
          <w:sz w:val="21"/>
        </w:rPr>
        <w:t xml:space="preserve">Insurance: </w:t>
      </w:r>
      <w:r>
        <w:rPr>
          <w:sz w:val="21"/>
        </w:rPr>
        <w:t>the head contract (Vol 3 Annexure Part A, Items 11 to 13; cl 20) requires Public Liability $20 million each and every claim, comprehensive and CTP motor vehicle $20 million, Professional Indemnity not less than $10 million each and every claim (held 7 years after the Term) and workers compensation as required by law. Clause 20.1(c) applies these to sub-consultants. JCE holds PI $10 million any one claim ($20 million aggregate) and Public Liability $10 million. JCE will lift its Public Liability cover to $20 million on award, with a certificate of currency before services start. JCE will confirm its motor vehicle and workers compensation position in its final fee proposal on 21/10/2026, and will supply certificates within 48 hours of a request, as the contract requires.</w:t>
      </w:r>
    </w:p>
    <w:p>
      <w:pPr>
        <w:pStyle w:val="ListBullet"/>
        <w:spacing w:after="40"/>
      </w:pPr>
      <w:r>
        <w:rPr>
          <w:b w:val="0"/>
          <w:sz w:val="21"/>
        </w:rPr>
        <w:t xml:space="preserve">WHS: </w:t>
      </w:r>
      <w:r>
        <w:rPr>
          <w:sz w:val="21"/>
        </w:rPr>
        <w:t>JCE has a documented WHS management system, policies and procedures for Schedule 11 and will register on Conserve if directed after award. JCE does not hold third-party (ISO) certification.</w:t>
      </w:r>
    </w:p>
    <w:p>
      <w:pPr>
        <w:pStyle w:val="ListBullet"/>
        <w:spacing w:after="40"/>
      </w:pPr>
      <w:r>
        <w:rPr>
          <w:b w:val="0"/>
          <w:sz w:val="21"/>
        </w:rPr>
        <w:t xml:space="preserve">Contract: </w:t>
      </w:r>
      <w:r>
        <w:rPr>
          <w:sz w:val="21"/>
        </w:rPr>
        <w:t>JCE accepts flow-down of the head contract as it relates to its services, subject to agreeing the liability cap and the clause 19.1 indemnity, which sits outside the cap in the head contract.</w:t>
      </w:r>
    </w:p>
    <w:p>
      <w:pPr>
        <w:pStyle w:val="ListBullet"/>
        <w:spacing w:after="40"/>
      </w:pPr>
      <w:r>
        <w:rPr>
          <w:b w:val="0"/>
          <w:sz w:val="21"/>
        </w:rPr>
        <w:t xml:space="preserve">Conflicts: </w:t>
      </w:r>
      <w:r>
        <w:rPr>
          <w:sz w:val="21"/>
        </w:rPr>
        <w:t>JCE has no conflict of interest with Camden Council or this site and will sign any declaration required.</w:t>
      </w:r>
    </w:p>
    <w:p>
      <w:pPr>
        <w:pStyle w:val="ListBullet"/>
        <w:spacing w:after="40"/>
      </w:pPr>
      <w:r>
        <w:rPr>
          <w:b w:val="0"/>
          <w:sz w:val="21"/>
        </w:rPr>
        <w:t xml:space="preserve">Location: </w:t>
      </w:r>
      <w:r>
        <w:rPr>
          <w:sz w:val="21"/>
        </w:rPr>
        <w:t>JCE is based in northern NSW. Design meetings are online, as the brief anticipates, and Jayden will attend site for the inspections listed.</w:t>
      </w:r>
    </w:p>
    <w:p>
      <w:pPr>
        <w:keepNext/>
        <w:spacing w:after="60" w:before="200"/>
      </w:pPr>
      <w:r>
        <w:rPr>
          <w:b/>
          <w:i w:val="0"/>
          <w:color w:val="1F3A5F"/>
          <w:sz w:val="24"/>
        </w:rPr>
        <w:t>7. Bid program</w:t>
      </w:r>
    </w:p>
    <w:tbl>
      <w:tblPr>
        <w:tblStyle w:val="TableGrid"/>
        <w:tblW w:type="auto" w:w="0"/>
        <w:tblLayout w:type="fixed"/>
        <w:tblLook w:firstColumn="1" w:firstRow="1" w:lastColumn="0" w:lastRow="0" w:noHBand="0" w:noVBand="1" w:val="04A0"/>
      </w:tblPr>
      <w:tblGrid>
        <w:gridCol w:w="2381"/>
        <w:gridCol w:w="7257"/>
      </w:tblGrid>
      <w:tr>
        <w:trPr>
          <w:cantSplit/>
        </w:trPr>
        <w:tc>
          <w:tcPr>
            <w:tcW w:type="dxa" w:w="2381"/>
          </w:tcPr>
          <w:p>
            <w:pPr>
              <w:keepNext/>
            </w:pPr>
            <w:r/>
            <w:r>
              <w:rPr>
                <w:b/>
                <w:sz w:val="19"/>
              </w:rPr>
              <w:t>Date</w:t>
            </w:r>
          </w:p>
        </w:tc>
        <w:tc>
          <w:tcPr>
            <w:tcW w:type="dxa" w:w="7257"/>
          </w:tcPr>
          <w:p>
            <w:pPr>
              <w:keepNext/>
            </w:pPr>
            <w:r/>
            <w:r>
              <w:rPr>
                <w:b/>
                <w:sz w:val="19"/>
              </w:rPr>
              <w:t>Action</w:t>
            </w:r>
          </w:p>
        </w:tc>
      </w:tr>
      <w:tr>
        <w:trPr>
          <w:cantSplit/>
        </w:trPr>
        <w:tc>
          <w:tcPr>
            <w:tcW w:type="dxa" w:w="2381"/>
          </w:tcPr>
          <w:p>
            <w:pPr>
              <w:keepNext/>
            </w:pPr>
            <w:r/>
            <w:r>
              <w:rPr>
                <w:sz w:val="19"/>
              </w:rPr>
              <w:t>Fri 16/10/2026</w:t>
            </w:r>
          </w:p>
        </w:tc>
        <w:tc>
          <w:tcPr>
            <w:tcW w:type="dxa" w:w="7257"/>
          </w:tcPr>
          <w:p>
            <w:pPr>
              <w:keepNext/>
            </w:pPr>
            <w:r/>
            <w:r>
              <w:rPr>
                <w:sz w:val="19"/>
              </w:rPr>
              <w:t>Please confirm whether you are bidding, whether you would like JCE in your team, and whether you want hydraulics as well</w:t>
            </w:r>
          </w:p>
        </w:tc>
      </w:tr>
      <w:tr>
        <w:trPr>
          <w:cantSplit/>
        </w:trPr>
        <w:tc>
          <w:tcPr>
            <w:tcW w:type="dxa" w:w="2381"/>
          </w:tcPr>
          <w:p>
            <w:pPr>
              <w:keepNext/>
            </w:pPr>
            <w:r/>
            <w:r>
              <w:rPr>
                <w:sz w:val="19"/>
              </w:rPr>
              <w:t>Wed 21/10/2026</w:t>
            </w:r>
          </w:p>
        </w:tc>
        <w:tc>
          <w:tcPr>
            <w:tcW w:type="dxa" w:w="7257"/>
          </w:tcPr>
          <w:p>
            <w:pPr>
              <w:keepNext/>
            </w:pPr>
            <w:r/>
            <w:r>
              <w:rPr>
                <w:sz w:val="19"/>
              </w:rPr>
              <w:t>JCE issues its final fee proposal, Schedule 3 Civil (and Hydraulics) row, rates, Schedule 6 and 10 inputs, CV, capability statement, current insurance certificates and WHS documents</w:t>
            </w:r>
          </w:p>
        </w:tc>
      </w:tr>
      <w:tr>
        <w:trPr>
          <w:cantSplit/>
        </w:trPr>
        <w:tc>
          <w:tcPr>
            <w:tcW w:type="dxa" w:w="2381"/>
          </w:tcPr>
          <w:p>
            <w:pPr>
              <w:keepNext/>
            </w:pPr>
            <w:r/>
            <w:r>
              <w:rPr>
                <w:sz w:val="19"/>
              </w:rPr>
              <w:t>Fri 23/10/2026</w:t>
            </w:r>
          </w:p>
        </w:tc>
        <w:tc>
          <w:tcPr>
            <w:tcW w:type="dxa" w:w="7257"/>
          </w:tcPr>
          <w:p>
            <w:pPr>
              <w:keepNext/>
            </w:pPr>
            <w:r/>
            <w:r>
              <w:rPr>
                <w:sz w:val="19"/>
              </w:rPr>
              <w:t>JCE sends you any civil questions for Council, for you to lodge</w:t>
            </w:r>
          </w:p>
        </w:tc>
      </w:tr>
      <w:tr>
        <w:trPr>
          <w:cantSplit/>
        </w:trPr>
        <w:tc>
          <w:tcPr>
            <w:tcW w:type="dxa" w:w="2381"/>
          </w:tcPr>
          <w:p>
            <w:pPr>
              <w:keepNext/>
            </w:pPr>
            <w:r/>
            <w:r>
              <w:rPr>
                <w:sz w:val="19"/>
              </w:rPr>
              <w:t>Wed 28/10/2026, 3:00pm</w:t>
            </w:r>
          </w:p>
        </w:tc>
        <w:tc>
          <w:tcPr>
            <w:tcW w:type="dxa" w:w="7257"/>
          </w:tcPr>
          <w:p>
            <w:pPr>
              <w:keepNext/>
            </w:pPr>
            <w:r/>
            <w:r>
              <w:rPr>
                <w:sz w:val="19"/>
              </w:rPr>
              <w:t>Questions to Council close (buy.nsw Q&amp;A)</w:t>
            </w:r>
          </w:p>
        </w:tc>
      </w:tr>
      <w:tr>
        <w:trPr>
          <w:cantSplit/>
        </w:trPr>
        <w:tc>
          <w:tcPr>
            <w:tcW w:type="dxa" w:w="2381"/>
          </w:tcPr>
          <w:p>
            <w:pPr>
              <w:keepNext/>
            </w:pPr>
            <w:r/>
            <w:r>
              <w:rPr>
                <w:sz w:val="19"/>
              </w:rPr>
              <w:t>Wed 04/11/2026, 3:00pm</w:t>
            </w:r>
          </w:p>
        </w:tc>
        <w:tc>
          <w:tcPr>
            <w:tcW w:type="dxa" w:w="7257"/>
          </w:tcPr>
          <w:p>
            <w:pPr>
              <w:keepNext/>
            </w:pPr>
            <w:r/>
            <w:r>
              <w:rPr>
                <w:sz w:val="19"/>
              </w:rPr>
              <w:t>Tender closes (lodged by the Lead Design Consultant)</w:t>
            </w:r>
          </w:p>
        </w:tc>
      </w:tr>
    </w:tbl>
    <w:p>
      <w:pPr>
        <w:spacing w:after="40"/>
      </w:pPr>
    </w:p>
    <w:p>
      <w:pPr>
        <w:keepNext/>
        <w:spacing w:after="60" w:before="200"/>
      </w:pPr>
      <w:r>
        <w:rPr>
          <w:b/>
          <w:i w:val="0"/>
          <w:color w:val="1F3A5F"/>
          <w:sz w:val="24"/>
        </w:rPr>
        <w:t>8. What JCE needs from you</w:t>
      </w:r>
    </w:p>
    <w:p>
      <w:pPr>
        <w:pStyle w:val="ListBullet"/>
        <w:keepNext/>
        <w:spacing w:after="40"/>
      </w:pPr>
      <w:r>
        <w:rPr>
          <w:sz w:val="21"/>
        </w:rPr>
        <w:t>Confirmation by Fri 16/10/2026 and a contact for the bid.</w:t>
      </w:r>
    </w:p>
    <w:p>
      <w:pPr>
        <w:pStyle w:val="ListBullet"/>
        <w:keepNext/>
        <w:spacing w:after="40"/>
      </w:pPr>
      <w:r>
        <w:rPr>
          <w:sz w:val="21"/>
        </w:rPr>
        <w:t>Your sub-consultant agreement or the flow-down terms you intend to use.</w:t>
      </w:r>
    </w:p>
    <w:p>
      <w:pPr>
        <w:pStyle w:val="ListBullet"/>
        <w:spacing w:after="40"/>
      </w:pPr>
      <w:r>
        <w:rPr>
          <w:sz w:val="21"/>
        </w:rPr>
        <w:t>Any team-wide assumptions, format for Schedule 3 inputs and a draft layout when available.</w:t>
      </w:r>
    </w:p>
    <w:p>
      <w:pPr>
        <w:keepNext/>
        <w:spacing w:after="60" w:before="200"/>
      </w:pPr>
      <w:r>
        <w:rPr>
          <w:b/>
          <w:i w:val="0"/>
          <w:color w:val="1F3A5F"/>
          <w:sz w:val="24"/>
        </w:rPr>
        <w:t>9. Confidentiality and basis</w:t>
      </w:r>
    </w:p>
    <w:p>
      <w:pPr>
        <w:keepNext/>
        <w:spacing w:after="160"/>
      </w:pPr>
      <w:r>
        <w:rPr>
          <w:b w:val="0"/>
          <w:i w:val="0"/>
          <w:sz w:val="21"/>
        </w:rPr>
        <w:t>JCE will keep this brief, your tender information and pricing confidential and use them only to prepare your submission. JCE is offering the same brief to other architects, and will not share one team's information with another. JCE's involvement depends on your team being awarded the work by Camden Council and on a sub-consultant agreement being signed. No fee is payable for tender preparation.</w:t>
      </w:r>
    </w:p>
    <w:p>
      <w:pPr>
        <w:keepNext/>
        <w:spacing w:after="360"/>
      </w:pPr>
      <w:r>
        <w:rPr>
          <w:b w:val="0"/>
          <w:i w:val="0"/>
          <w:sz w:val="21"/>
        </w:rPr>
        <w:t>Yours faithfully,</w:t>
      </w:r>
    </w:p>
    <w:p>
      <w:pPr>
        <w:keepNext/>
        <w:spacing w:after="0"/>
      </w:pPr>
      <w:r>
        <w:rPr>
          <w:b/>
          <w:i w:val="0"/>
          <w:sz w:val="21"/>
        </w:rPr>
        <w:t>Jayden Callen, Director</w:t>
      </w:r>
    </w:p>
    <w:p>
      <w:pPr>
        <w:keepNext/>
        <w:spacing w:after="0"/>
      </w:pPr>
      <w:r>
        <w:rPr>
          <w:b w:val="0"/>
          <w:i w:val="0"/>
          <w:sz w:val="21"/>
        </w:rPr>
        <w:t>JCE Infrastructure Pty Ltd</w:t>
      </w:r>
    </w:p>
    <w:p>
      <w:pPr>
        <w:keepNext w:val="0"/>
        <w:spacing w:after="0"/>
      </w:pPr>
      <w:r>
        <w:rPr>
          <w:b w:val="0"/>
          <w:i w:val="0"/>
          <w:sz w:val="21"/>
        </w:rPr>
        <w:t>0477 207 027  |  jayden@jceinfrastructure.com.au</w:t>
      </w:r>
    </w:p>
    <w:sectPr w:rsidR="00FC693F" w:rsidRPr="0006063C" w:rsidSect="00034616">
      <w:footerReference w:type="default" r:id="rId9"/>
      <w:pgSz w:w="11906" w:h="16838"/>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JCE Infrastructure Pty Ltd  |  Teaming brief T026/2026 Leppington Community Centre Precinct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