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JCE-TB-T026 Rev B (Final)</w:t>
            </w:r>
          </w:p>
        </w:tc>
      </w:tr>
      <w:tr>
        <w:trPr>
          <w:cantSplit/>
        </w:trPr>
        <w:tc>
          <w:tcPr>
            <w:tcW w:type="dxa" w:w="1361"/>
          </w:tcPr>
          <w:p>
            <w:pPr>
              <w:keepNext/>
            </w:pPr>
            <w:r/>
            <w:r>
              <w:rPr>
                <w:sz w:val="19"/>
              </w:rPr>
              <w:t>To</w:t>
            </w:r>
          </w:p>
        </w:tc>
        <w:tc>
          <w:tcPr>
            <w:tcW w:type="dxa" w:w="3402"/>
          </w:tcPr>
          <w:p>
            <w:pPr>
              <w:keepNext/>
            </w:pPr>
            <w:r/>
            <w:r>
              <w:rPr>
                <w:sz w:val="19"/>
              </w:rPr>
              <w:t>Carter Williamson Architects</w:t>
            </w:r>
          </w:p>
        </w:tc>
        <w:tc>
          <w:tcPr>
            <w:tcW w:type="dxa" w:w="1701"/>
          </w:tcPr>
          <w:p>
            <w:pPr>
              <w:keepNext/>
            </w:pPr>
            <w:r/>
            <w:r>
              <w:rPr>
                <w:sz w:val="19"/>
              </w:rPr>
              <w:t>Attention</w:t>
            </w:r>
          </w:p>
        </w:tc>
        <w:tc>
          <w:tcPr>
            <w:tcW w:type="dxa" w:w="3175"/>
          </w:tcPr>
          <w:p>
            <w:pPr>
              <w:keepNext/>
            </w:pPr>
            <w:r/>
            <w:r>
              <w:rPr>
                <w:sz w:val="19"/>
              </w:rPr>
              <w:t>Directors</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Directors,</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$39,110</w:t>
            </w:r>
          </w:p>
        </w:tc>
        <w:tc>
          <w:tcPr>
            <w:tcW w:type="dxa" w:w="1361"/>
          </w:tcPr>
          <w:p>
            <w:pPr>
              <w:keepNext/>
            </w:pPr>
            <w:r/>
            <w:r>
              <w:rPr>
                <w:sz w:val="19"/>
              </w:rPr>
              <w:t>$19,100</w:t>
            </w:r>
          </w:p>
        </w:tc>
        <w:tc>
          <w:tcPr>
            <w:tcW w:type="dxa" w:w="1361"/>
          </w:tcPr>
          <w:p>
            <w:pPr>
              <w:keepNext/>
            </w:pPr>
            <w:r/>
            <w:r>
              <w:rPr>
                <w:sz w:val="19"/>
              </w:rPr>
              <w:t>$27,420</w:t>
            </w:r>
          </w:p>
        </w:tc>
        <w:tc>
          <w:tcPr>
            <w:tcW w:type="dxa" w:w="1361"/>
          </w:tcPr>
          <w:p>
            <w:pPr>
              <w:keepNext/>
            </w:pPr>
            <w:r/>
            <w:r>
              <w:rPr>
                <w:sz w:val="19"/>
              </w:rPr>
              <w:t>$15,020</w:t>
            </w:r>
          </w:p>
        </w:tc>
        <w:tc>
          <w:tcPr>
            <w:tcW w:type="dxa" w:w="1814"/>
          </w:tcPr>
          <w:p>
            <w:pPr>
              <w:keepNext/>
            </w:pPr>
            <w:r/>
            <w:r>
              <w:rPr>
                <w:sz w:val="19"/>
              </w:rPr>
              <w:t>$100,650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val="0"/>
        <w:spacing w:after="80"/>
      </w:pPr>
      <w:r>
        <w:rPr>
          <w:b w:val="0"/>
          <w:i w:val="0"/>
          <w:sz w:val="21"/>
        </w:rPr>
        <w:t>Schedule of rates: Director $200/hr; Senior Civil Engineer $180/hr; peer review $200/hr; drafting $160/hr. Additional site inspection at Leppington, including travel and report: $1,900 fixed. Provisional sums, only if required: supplementary detail survey $3,500; independent CPEng verification of retaining and containment-interface elements $2,500. JCE's offer will be valid for 120 days from the tender close,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sign it off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Livio Chiarot FIEAust (SCP Consulting) will carry out independent peer review of the levels, earthworks and stormwater design before each major issue. This is NSW work for a Class 9b building, so RPEQ and Design and Building Practitioners registration do not apply.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for this engagement and will supply current certificates of currency for PL, PI, motor vehicle and workers compensation with its final inputs on 21/10/2026.</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spacing w:after="40"/>
      </w:pPr>
      <w:r>
        <w:rPr>
          <w:sz w:val="21"/>
        </w:rPr>
        <w:t>Confirmation by Fri 16/10/2026 and a contact for the bid.</w:t>
      </w:r>
    </w:p>
    <w:p>
      <w:pPr>
        <w:pStyle w:val="ListBulle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