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A5F"/>
          <w:sz w:val="32"/>
        </w:rPr>
        <w:t>JCE Infrastructure Pty Ltd</w:t>
      </w:r>
    </w:p>
    <w:p>
      <w:pPr>
        <w:spacing w:after="0"/>
      </w:pPr>
      <w:r>
        <w:rPr>
          <w:sz w:val="18"/>
        </w:rPr>
        <w:t>Civil, hydraulic and infrastructure engineering</w:t>
      </w:r>
    </w:p>
    <w:p>
      <w:pPr>
        <w:pBdr>
          <w:bottom w:val="single" w:sz="12" w:space="4" w:color="1F3A5F"/>
        </w:pBdr>
        <w:spacing w:after="240"/>
      </w:pPr>
      <w:r>
        <w:rPr>
          <w:sz w:val="18"/>
        </w:rPr>
        <w:t>ABN 29 699 165 663  |  0477 207 027  |  jayden@jceinfrastructure.com.au</w:t>
      </w:r>
    </w:p>
    <w:p>
      <w:pPr>
        <w:spacing w:after="40"/>
      </w:pPr>
      <w:r>
        <w:rPr>
          <w:b/>
          <w:color w:val="1F3A5F"/>
          <w:sz w:val="28"/>
        </w:rPr>
        <w:t>Request for Quotation: Town Planning (Contributions Planning)</w:t>
      </w:r>
    </w:p>
    <w:p>
      <w:pPr>
        <w:spacing w:after="160"/>
      </w:pPr>
      <w:r>
        <w:rPr>
          <w:b/>
          <w:sz w:val="22"/>
        </w:rPr>
        <w:t>Mid-Western Regional Contributions Plan (Council RFQ MWRCCMS001497)</w:t>
      </w:r>
    </w:p>
    <w:tbl>
      <w:tblPr>
        <w:tblStyle w:val="TableGrid"/>
        <w:tblLayout w:type="fixed"/>
        <w:tblLook w:firstColumn="1" w:firstRow="1" w:lastColumn="0" w:lastRow="0" w:noHBand="0" w:noVBand="1" w:val="04A0"/>
        <w:tblW w:w="9412" w:type="dxa"/>
        <w:tblLayout w:type="fixed"/>
      </w:tblPr>
      <w:tblGrid>
        <w:gridCol w:w="2551"/>
        <w:gridCol w:w="6860"/>
      </w:tblGrid>
      <w:tr>
        <w:tc>
          <w:tcPr>
            <w:tcW w:type="dxa" w:w="2551"/>
            <w:shd w:val="clear" w:color="auto" w:fill="E8EEF5"/>
          </w:tcPr>
          <w:p>
            <w:pPr>
              <w:spacing w:after="40"/>
            </w:pPr>
            <w:r>
              <w:rPr>
                <w:b/>
              </w:rPr>
              <w:t>Date</w:t>
            </w:r>
          </w:p>
        </w:tc>
        <w:tc>
          <w:tcPr>
            <w:tcW w:type="dxa" w:w="6860"/>
          </w:tcPr>
          <w:p>
            <w:pPr>
              <w:spacing w:after="40"/>
            </w:pPr>
            <w:r>
              <w:t>12/10/2026</w:t>
            </w:r>
          </w:p>
        </w:tc>
      </w:tr>
      <w:tr>
        <w:tc>
          <w:tcPr>
            <w:tcW w:type="dxa" w:w="2551"/>
            <w:shd w:val="clear" w:color="auto" w:fill="E8EEF5"/>
          </w:tcPr>
          <w:p>
            <w:pPr>
              <w:spacing w:after="40"/>
            </w:pPr>
            <w:r>
              <w:rPr>
                <w:b/>
              </w:rPr>
              <w:t>To</w:t>
            </w:r>
          </w:p>
        </w:tc>
        <w:tc>
          <w:tcPr>
            <w:tcW w:type="dxa" w:w="6860"/>
          </w:tcPr>
          <w:p>
            <w:pPr>
              <w:spacing w:after="40"/>
            </w:pPr>
            <w:r>
              <w:t>[Firm]</w:t>
            </w:r>
          </w:p>
        </w:tc>
      </w:tr>
      <w:tr>
        <w:tc>
          <w:tcPr>
            <w:tcW w:type="dxa" w:w="2551"/>
            <w:shd w:val="clear" w:color="auto" w:fill="E8EEF5"/>
          </w:tcPr>
          <w:p>
            <w:pPr>
              <w:spacing w:after="40"/>
            </w:pPr>
            <w:r>
              <w:rPr>
                <w:b/>
              </w:rPr>
              <w:t>Attention</w:t>
            </w:r>
          </w:p>
        </w:tc>
        <w:tc>
          <w:tcPr>
            <w:tcW w:type="dxa" w:w="6860"/>
          </w:tcPr>
          <w:p>
            <w:pPr>
              <w:spacing w:after="40"/>
            </w:pPr>
            <w:r>
              <w:t>[Name]</w:t>
            </w:r>
          </w:p>
        </w:tc>
      </w:tr>
      <w:tr>
        <w:tc>
          <w:tcPr>
            <w:tcW w:type="dxa" w:w="2551"/>
            <w:shd w:val="clear" w:color="auto" w:fill="E8EEF5"/>
          </w:tcPr>
          <w:p>
            <w:pPr>
              <w:spacing w:after="40"/>
            </w:pPr>
            <w:r>
              <w:rPr>
                <w:b/>
              </w:rPr>
              <w:t>From</w:t>
            </w:r>
          </w:p>
        </w:tc>
        <w:tc>
          <w:tcPr>
            <w:tcW w:type="dxa" w:w="6860"/>
          </w:tcPr>
          <w:p>
            <w:pPr>
              <w:spacing w:after="40"/>
            </w:pPr>
            <w:r>
              <w:t>Jayden Callen, Director, JCE Infrastructure Pty Ltd</w:t>
            </w:r>
          </w:p>
        </w:tc>
      </w:tr>
      <w:tr>
        <w:tc>
          <w:tcPr>
            <w:tcW w:type="dxa" w:w="2551"/>
            <w:shd w:val="clear" w:color="auto" w:fill="E8EEF5"/>
          </w:tcPr>
          <w:p>
            <w:pPr>
              <w:spacing w:after="40"/>
            </w:pPr>
            <w:r>
              <w:rPr>
                <w:b/>
              </w:rPr>
              <w:t>JCE reference</w:t>
            </w:r>
          </w:p>
        </w:tc>
        <w:tc>
          <w:tcPr>
            <w:tcW w:type="dxa" w:w="6860"/>
          </w:tcPr>
          <w:p>
            <w:pPr>
              <w:spacing w:after="40"/>
            </w:pPr>
            <w:r>
              <w:t>JCE-RFQ-MWRCCMS001497-TOW</w:t>
            </w:r>
          </w:p>
        </w:tc>
      </w:tr>
      <w:tr>
        <w:tc>
          <w:tcPr>
            <w:tcW w:type="dxa" w:w="2551"/>
            <w:shd w:val="clear" w:color="auto" w:fill="E8EEF5"/>
          </w:tcPr>
          <w:p>
            <w:pPr>
              <w:spacing w:after="40"/>
            </w:pPr>
            <w:r>
              <w:rPr>
                <w:b/>
              </w:rPr>
              <w:t>Discipline</w:t>
            </w:r>
          </w:p>
        </w:tc>
        <w:tc>
          <w:tcPr>
            <w:tcW w:type="dxa" w:w="6860"/>
          </w:tcPr>
          <w:p>
            <w:pPr>
              <w:spacing w:after="40"/>
            </w:pPr>
            <w:r>
              <w:t>Town planning (contributions planning)</w:t>
            </w:r>
          </w:p>
        </w:tc>
      </w:tr>
      <w:tr>
        <w:tc>
          <w:tcPr>
            <w:tcW w:type="dxa" w:w="2551"/>
            <w:shd w:val="clear" w:color="auto" w:fill="E8EEF5"/>
          </w:tcPr>
          <w:p>
            <w:pPr>
              <w:spacing w:after="40"/>
            </w:pPr>
            <w:r>
              <w:rPr>
                <w:b/>
              </w:rPr>
              <w:t>Quote due</w:t>
            </w:r>
          </w:p>
        </w:tc>
        <w:tc>
          <w:tcPr>
            <w:tcW w:type="dxa" w:w="6860"/>
          </w:tcPr>
          <w:p>
            <w:pPr>
              <w:spacing w:after="40"/>
            </w:pPr>
            <w:r>
              <w:rPr>
                <w:b/>
              </w:rPr>
              <w:t>12:00pm Thursday 15/10/2026</w:t>
            </w:r>
          </w:p>
        </w:tc>
      </w:tr>
      <w:tr>
        <w:tc>
          <w:tcPr>
            <w:tcW w:type="dxa" w:w="2551"/>
            <w:shd w:val="clear" w:color="auto" w:fill="E8EEF5"/>
          </w:tcPr>
          <w:p>
            <w:pPr>
              <w:spacing w:after="40"/>
            </w:pPr>
            <w:r>
              <w:rPr>
                <w:b/>
              </w:rPr>
              <w:t>Council RFQ closes</w:t>
            </w:r>
          </w:p>
        </w:tc>
        <w:tc>
          <w:tcPr>
            <w:tcW w:type="dxa" w:w="6860"/>
          </w:tcPr>
          <w:p>
            <w:pPr>
              <w:spacing w:after="40"/>
            </w:pPr>
            <w:r>
              <w:t>2:00pm Monday 19/10/2026 (AEDT)</w:t>
            </w:r>
          </w:p>
        </w:tc>
      </w:tr>
    </w:tbl>
    <w:p/>
    <w:p>
      <w:pPr>
        <w:keepNext/>
        <w:spacing w:before="200" w:after="80"/>
      </w:pPr>
      <w:r>
        <w:rPr>
          <w:b/>
          <w:color w:val="1F3A5F"/>
          <w:sz w:val="22"/>
        </w:rPr>
        <w:t>1.  Project and tender background</w:t>
      </w:r>
    </w:p>
    <w:p>
      <w:r>
        <w:rPr>
          <w:b w:val="0"/>
        </w:rPr>
        <w:t>Mid-Western Regional Council (Council) has invited quotations under RFQ MWRCCMS001497 for the review of the Mid-Western Regional Contributions Plan 2019, the preparation of new Section 7.11 and Section 7.12 contributions plans under the Environmental Planning and Assessment Act 1979, and a framework for future contributions plans. Council released the RFQ on its BCI eProcure portal on 30/09/2026. It closes at 2:00pm Monday 19/10/2026 (AEDT).</w:t>
      </w:r>
    </w:p>
    <w:p>
      <w:r>
        <w:rPr>
          <w:b w:val="0"/>
        </w:rPr>
        <w:t>The 2019 Plan (prepared for Council by GLN Planning) applies across the LGA. It sets Section 7.11 rates for the Mudgee catchment and for the area outside Mudgee (Gulgong, Kandos, Rylstone and the villages), Section 7.12 levies on other development, and a heavy haulage contribution for extractive industries. Its works schedule of about $53.3 million covers transport, open space and recreation, community facilities, Mudgee stormwater and plan administration. The 2019 Plan is on Council's website (midwestern.nsw.gov.au, Plans and Strategies).</w:t>
      </w:r>
    </w:p>
    <w:p>
      <w:r>
        <w:rPr>
          <w:b w:val="0"/>
        </w:rPr>
        <w:t>JCE Infrastructure Pty Ltd (JCE), a civil and hydraulic engineering consultancy in northern NSW, intends to quote as lead consultant. JCE will deliver the infrastructure needs assessment for transport and stormwater, the engineering works schedule and cost estimates, the heavy haulage review and the infrastructure background report.</w:t>
      </w:r>
    </w:p>
    <w:p>
      <w:r>
        <w:rPr>
          <w:b w:val="0"/>
        </w:rPr>
        <w:t>JCE seeks a town planning firm with contributions planning experience to act as lead planning author for the planning content of the work.</w:t>
      </w:r>
    </w:p>
    <w:p>
      <w:pPr>
        <w:keepNext/>
        <w:spacing w:before="200" w:after="80"/>
      </w:pPr>
      <w:r>
        <w:rPr>
          <w:b/>
          <w:color w:val="1F3A5F"/>
          <w:sz w:val="22"/>
        </w:rPr>
        <w:t>2.  Your scope</w:t>
      </w:r>
    </w:p>
    <w:p>
      <w:pPr>
        <w:keepNext/>
      </w:pPr>
      <w:r>
        <w:rPr>
          <w:b w:val="0"/>
        </w:rPr>
        <w:t>The scope covers the three parts of Council's requirement: review of the 2019 Plan, new Section 7.11 and Section 7.12 plans, and a framework for future plans. Your scope is:</w:t>
      </w:r>
    </w:p>
    <w:p>
      <w:pPr>
        <w:pStyle w:val="ListBullet"/>
        <w:spacing w:after="60"/>
      </w:pPr>
      <w:r>
        <w:t>Review of the 2019 Plan: structure, catchments, nexus, apportionment, rates, indexation, administration, contributions received and held, and compliance with the Act, the EP&amp;A Regulation 2021 and current Departmental practice notes.</w:t>
      </w:r>
    </w:p>
    <w:p>
      <w:pPr>
        <w:pStyle w:val="ListBullet"/>
        <w:spacing w:after="60"/>
      </w:pPr>
      <w:r>
        <w:t>Growth forecasts for the plan period by catchment (population, dwellings and non-residential development) and occupancy rates.</w:t>
      </w:r>
    </w:p>
    <w:p>
      <w:pPr>
        <w:pStyle w:val="ListBullet"/>
        <w:spacing w:after="60"/>
      </w:pPr>
      <w:r>
        <w:t>Needs, nexus and apportionment for community, recreation and open space items, and the overall apportionment method. JCE covers transport, stormwater and heavy haulage.</w:t>
      </w:r>
    </w:p>
    <w:p>
      <w:pPr>
        <w:pStyle w:val="ListBullet"/>
        <w:spacing w:after="60"/>
      </w:pPr>
      <w:r>
        <w:t>Drafting of the new Section 7.11 and Section 7.12 plans: contribution rates and catchments, works-in-kind, planning agreement and administration provisions, and a check of the IPART review threshold.</w:t>
      </w:r>
    </w:p>
    <w:p>
      <w:pPr>
        <w:pStyle w:val="ListBullet"/>
        <w:spacing w:after="60"/>
      </w:pPr>
      <w:r>
        <w:t>Public exhibition material, the submissions report for planning submissions, amendments to the plans and input to the Council report.</w:t>
      </w:r>
    </w:p>
    <w:p>
      <w:pPr>
        <w:pStyle w:val="ListBullet"/>
        <w:spacing w:after="60"/>
      </w:pPr>
      <w:r>
        <w:t>Lead authorship of the framework for future contributions plans. JCE provides the works scoping and costing method and the works schedule template.</w:t>
      </w:r>
    </w:p>
    <w:p>
      <w:pPr>
        <w:pStyle w:val="ListBullet"/>
        <w:spacing w:after="60"/>
      </w:pPr>
      <w:r>
        <w:t>Up to six project meetings (online, except the inception meeting) and one Councillor briefing.</w:t>
      </w:r>
    </w:p>
    <w:p>
      <w:r>
        <w:rPr>
          <w:b w:val="0"/>
        </w:rPr>
        <w:t>Excluded from your scope: engineering needs, works scoping and costing (JCE), cost estimates for community and recreation facilities (JCE's cost planner), land valuation, legal review, and Section 64 plans.</w:t>
      </w:r>
    </w:p>
    <w:p>
      <w:pPr>
        <w:keepNext/>
        <w:spacing w:before="200" w:after="80"/>
      </w:pPr>
      <w:r>
        <w:rPr>
          <w:b/>
          <w:color w:val="1F3A5F"/>
          <w:sz w:val="22"/>
        </w:rPr>
        <w:t>3.  Deliverables</w:t>
      </w:r>
    </w:p>
    <w:p>
      <w:pPr>
        <w:pStyle w:val="ListBullet"/>
        <w:spacing w:after="60"/>
      </w:pPr>
      <w:r>
        <w:t>2019 Plan review memo and growth forecast memo.</w:t>
      </w:r>
    </w:p>
    <w:p>
      <w:pPr>
        <w:pStyle w:val="ListBullet"/>
        <w:spacing w:after="60"/>
      </w:pPr>
      <w:r>
        <w:t>Draft and final Section 7.11 and Section 7.12 plans (Word and PDF).</w:t>
      </w:r>
    </w:p>
    <w:p>
      <w:pPr>
        <w:pStyle w:val="ListBullet"/>
        <w:spacing w:after="60"/>
      </w:pPr>
      <w:r>
        <w:t>Exhibition material and submissions report.</w:t>
      </w:r>
    </w:p>
    <w:p>
      <w:pPr>
        <w:pStyle w:val="ListBullet"/>
        <w:spacing w:after="60"/>
      </w:pPr>
      <w:r>
        <w:t>Framework for future contributions plans (planning content).</w:t>
      </w:r>
    </w:p>
    <w:p>
      <w:pPr>
        <w:pStyle w:val="ListBullet"/>
        <w:spacing w:after="60"/>
      </w:pPr>
      <w:r>
        <w:t>Rate calculations and apportionment in editable Excel.</w:t>
      </w:r>
    </w:p>
    <w:p>
      <w:pPr>
        <w:keepNext/>
        <w:spacing w:before="200" w:after="80"/>
      </w:pPr>
      <w:r>
        <w:rPr>
          <w:b/>
          <w:color w:val="1F3A5F"/>
          <w:sz w:val="22"/>
        </w:rPr>
        <w:t>4.  Program</w:t>
      </w:r>
    </w:p>
    <w:p>
      <w:r>
        <w:rPr>
          <w:b w:val="0"/>
        </w:rPr>
        <w:t>Indicative only, assuming award in early November 2026: review and growth forecasts November to December 2026; draft plans March 2027; exhibition and adoption April to July 2027; framework March to July 2027. JCE will align this with Council's program once the RFQ documents are downloaded.</w:t>
      </w:r>
    </w:p>
    <w:p>
      <w:pPr>
        <w:keepNext/>
        <w:spacing w:before="200" w:after="80"/>
      </w:pPr>
      <w:r>
        <w:rPr>
          <w:b/>
          <w:color w:val="1F3A5F"/>
          <w:sz w:val="22"/>
        </w:rPr>
        <w:t>5.  Information provided</w:t>
      </w:r>
    </w:p>
    <w:p>
      <w:pPr>
        <w:pStyle w:val="ListBullet"/>
        <w:spacing w:after="60"/>
      </w:pPr>
      <w:r>
        <w:t>The 2019 Plan, available from Council's website.</w:t>
      </w:r>
    </w:p>
    <w:p>
      <w:pPr>
        <w:pStyle w:val="ListBullet"/>
        <w:spacing w:after="60"/>
      </w:pPr>
      <w:r>
        <w:t>Council's RFQ documents and any addenda, which JCE will forward as soon as they are downloaded from the portal. JCE has prepared this request from the public RFQ listing and the 2019 Plan. If the RFQ documents change the scope, JCE will tell you straight away and you may adjust your quotation.</w:t>
      </w:r>
    </w:p>
    <w:p>
      <w:pPr>
        <w:keepNext/>
        <w:spacing w:before="200" w:after="80"/>
      </w:pPr>
      <w:r>
        <w:rPr>
          <w:b/>
          <w:color w:val="1F3A5F"/>
          <w:sz w:val="22"/>
        </w:rPr>
        <w:t>6.  Insurance</w:t>
      </w:r>
    </w:p>
    <w:p>
      <w:r>
        <w:rPr>
          <w:b w:val="0"/>
        </w:rPr>
        <w:t>Council's RFQ documents have not yet been downloaded, so Council's required insurance levels are not yet confirmed. Please price on the basis that you will hold the following, to match the head contract:</w:t>
      </w:r>
    </w:p>
    <w:p>
      <w:pPr>
        <w:pStyle w:val="ListBullet"/>
        <w:spacing w:after="60"/>
      </w:pPr>
      <w:r>
        <w:t>professional indemnity insurance of at least $5 million per claim;</w:t>
      </w:r>
    </w:p>
    <w:p>
      <w:pPr>
        <w:pStyle w:val="ListBullet"/>
        <w:spacing w:after="60"/>
      </w:pPr>
      <w:r>
        <w:t>public liability insurance of at least $20 million per occurrence;</w:t>
      </w:r>
    </w:p>
    <w:p>
      <w:pPr>
        <w:pStyle w:val="ListBullet"/>
        <w:spacing w:after="60"/>
      </w:pPr>
      <w:r>
        <w:t>workers compensation insurance as required by law.</w:t>
      </w:r>
    </w:p>
    <w:p>
      <w:r>
        <w:rPr>
          <w:b w:val="0"/>
        </w:rPr>
        <w:t>JCE will confirm the required levels once the RFQ documents are downloaded. Please state your current limits and attach certificates of currency. If you cannot meet these levels, say so in your quotation.</w:t>
      </w:r>
    </w:p>
    <w:p>
      <w:pPr>
        <w:keepNext/>
        <w:spacing w:before="200" w:after="80"/>
      </w:pPr>
      <w:r>
        <w:rPr>
          <w:b/>
          <w:color w:val="1F3A5F"/>
          <w:sz w:val="22"/>
        </w:rPr>
        <w:t>7.  Independence and conflicts of interest</w:t>
      </w:r>
    </w:p>
    <w:p>
      <w:r>
        <w:rPr>
          <w:b w:val="0"/>
        </w:rPr>
        <w:t>Contributions plans set the charges that developers and extractive industry operators pay, so Council will expect the team to be independent. In your quotation, please declare:</w:t>
      </w:r>
    </w:p>
    <w:p>
      <w:pPr>
        <w:pStyle w:val="ListBullet"/>
        <w:spacing w:after="60"/>
      </w:pPr>
      <w:r>
        <w:t>any current engagement, or engagement in the last two years, by developers, landowners or extractive industry operators in the Mid-Western Regional LGA, including development applications you are acting on;</w:t>
      </w:r>
    </w:p>
    <w:p>
      <w:pPr>
        <w:pStyle w:val="ListBullet"/>
        <w:spacing w:after="60"/>
      </w:pPr>
      <w:r>
        <w:t>any other interest that could conflict, or be seen to conflict, with this work;</w:t>
      </w:r>
    </w:p>
    <w:p>
      <w:pPr>
        <w:pStyle w:val="ListBullet"/>
        <w:spacing w:after="60"/>
      </w:pPr>
      <w:r>
        <w:t>how you would manage any such conflict during the engagement.</w:t>
      </w:r>
    </w:p>
    <w:p>
      <w:r>
        <w:rPr>
          <w:b w:val="0"/>
        </w:rPr>
        <w:t>A declared interest will not by itself rule out your quotation. JCE needs to know so that it can make the declaration Council requires.</w:t>
      </w:r>
    </w:p>
    <w:p>
      <w:pPr>
        <w:keepNext/>
        <w:spacing w:before="200" w:after="80"/>
      </w:pPr>
      <w:r>
        <w:rPr>
          <w:b/>
          <w:color w:val="1F3A5F"/>
          <w:sz w:val="22"/>
        </w:rPr>
        <w:t>8.  Key personnel and work health and safety</w:t>
      </w:r>
    </w:p>
    <w:p>
      <w:pPr>
        <w:pStyle w:val="ListBullet"/>
        <w:spacing w:after="60"/>
      </w:pPr>
      <w:r>
        <w:t>Name the person who will lead your work and any support staff, with a short CV for each.</w:t>
      </w:r>
    </w:p>
    <w:p>
      <w:pPr>
        <w:pStyle w:val="ListBullet"/>
        <w:spacing w:after="60"/>
      </w:pPr>
      <w:r>
        <w:t>List two or three comparable projects, with the client, year, your role and a referee for each.</w:t>
      </w:r>
    </w:p>
    <w:p>
      <w:pPr>
        <w:pStyle w:val="ListBullet"/>
        <w:spacing w:after="60"/>
      </w:pPr>
      <w:r>
        <w:t>Attach your WHS policy.</w:t>
      </w:r>
    </w:p>
    <w:p>
      <w:pPr>
        <w:keepNext/>
        <w:spacing w:before="200" w:after="80"/>
      </w:pPr>
      <w:r>
        <w:rPr>
          <w:b/>
          <w:color w:val="1F3A5F"/>
          <w:sz w:val="22"/>
        </w:rPr>
        <w:t>9.  Pricing schedule</w:t>
      </w:r>
    </w:p>
    <w:p>
      <w:pPr>
        <w:keepNext/>
      </w:pPr>
      <w:r>
        <w:rPr>
          <w:b w:val="0"/>
        </w:rPr>
        <w:t>Please complete the schedule below or give an equivalent breakdown. All amounts exclude GST. Lump sums should include all your costs, including travel for the inception meeting and Councillor briefing, unless you list them as disbursements.</w:t>
      </w:r>
    </w:p>
    <w:tbl>
      <w:tblPr>
        <w:tblStyle w:val="TableGrid"/>
        <w:jc w:val="center"/>
        <w:tblLayout w:type="fixed"/>
        <w:tblLook w:firstColumn="1" w:firstRow="1" w:lastColumn="0" w:lastRow="0" w:noHBand="0" w:noVBand="1" w:val="04A0"/>
        <w:tblW w:w="9412" w:type="dxa"/>
        <w:tblLayout w:type="fixed"/>
      </w:tblPr>
      <w:tblGrid>
        <w:gridCol w:w="793"/>
        <w:gridCol w:w="6237"/>
        <w:gridCol w:w="2381"/>
      </w:tblGrid>
      <w:tr>
        <w:trPr>
          <w:tblHeader w:val="true"/>
          <w:cantSplit/>
        </w:trPr>
        <w:tc>
          <w:tcPr>
            <w:tcW w:type="dxa" w:w="794"/>
            <w:shd w:val="clear" w:color="auto" w:fill="1F3A5F"/>
          </w:tcPr>
          <w:p>
            <w:pPr>
              <w:keepNext/>
              <w:spacing w:after="40"/>
            </w:pPr>
            <w:r>
              <w:rPr>
                <w:b/>
                <w:color w:val="FFFFFF"/>
                <w:sz w:val="18"/>
              </w:rPr>
              <w:t>Item</w:t>
            </w:r>
          </w:p>
        </w:tc>
        <w:tc>
          <w:tcPr>
            <w:tcW w:type="dxa" w:w="6236"/>
            <w:shd w:val="clear" w:color="auto" w:fill="1F3A5F"/>
          </w:tcPr>
          <w:p>
            <w:pPr>
              <w:keepNext/>
              <w:spacing w:after="40"/>
            </w:pPr>
            <w:r>
              <w:rPr>
                <w:b/>
                <w:color w:val="FFFFFF"/>
                <w:sz w:val="18"/>
              </w:rPr>
              <w:t>Description</w:t>
            </w:r>
          </w:p>
        </w:tc>
        <w:tc>
          <w:tcPr>
            <w:tcW w:type="dxa" w:w="2381"/>
            <w:shd w:val="clear" w:color="auto" w:fill="1F3A5F"/>
          </w:tcPr>
          <w:p>
            <w:pPr>
              <w:keepNext/>
              <w:spacing w:after="40"/>
            </w:pPr>
            <w:r>
              <w:rPr>
                <w:b/>
                <w:color w:val="FFFFFF"/>
                <w:sz w:val="18"/>
              </w:rPr>
              <w:t>Lump sum (excl. GST)</w:t>
            </w:r>
          </w:p>
        </w:tc>
      </w:tr>
      <w:tr>
        <w:trPr>
          <w:cantSplit/>
        </w:trPr>
        <w:tc>
          <w:tcPr>
            <w:tcW w:type="dxa" w:w="794"/>
          </w:tcPr>
          <w:p>
            <w:pPr>
              <w:keepNext/>
              <w:spacing w:after="40"/>
            </w:pPr>
            <w:r>
              <w:rPr>
                <w:sz w:val="18"/>
              </w:rPr>
              <w:t>1</w:t>
            </w:r>
          </w:p>
        </w:tc>
        <w:tc>
          <w:tcPr>
            <w:tcW w:type="dxa" w:w="6236"/>
          </w:tcPr>
          <w:p>
            <w:pPr>
              <w:keepNext/>
              <w:spacing w:after="40"/>
            </w:pPr>
            <w:r>
              <w:rPr>
                <w:sz w:val="18"/>
              </w:rPr>
              <w:t>Review of the 2019 Plan and growth forecasts</w:t>
            </w:r>
          </w:p>
        </w:tc>
        <w:tc>
          <w:tcPr>
            <w:tcW w:type="dxa" w:w="2381"/>
          </w:tcPr>
          <w:p>
            <w:pPr>
              <w:keepNext/>
              <w:spacing w:after="40"/>
            </w:pPr>
            <w:r>
              <w:rPr>
                <w:sz w:val="18"/>
              </w:rPr>
              <w:t>$</w:t>
            </w:r>
          </w:p>
        </w:tc>
      </w:tr>
      <w:tr>
        <w:trPr>
          <w:cantSplit/>
        </w:trPr>
        <w:tc>
          <w:tcPr>
            <w:tcW w:type="dxa" w:w="794"/>
          </w:tcPr>
          <w:p>
            <w:pPr>
              <w:keepNext/>
              <w:spacing w:after="40"/>
            </w:pPr>
            <w:r>
              <w:rPr>
                <w:sz w:val="18"/>
              </w:rPr>
              <w:t>2</w:t>
            </w:r>
          </w:p>
        </w:tc>
        <w:tc>
          <w:tcPr>
            <w:tcW w:type="dxa" w:w="6236"/>
          </w:tcPr>
          <w:p>
            <w:pPr>
              <w:keepNext/>
              <w:spacing w:after="40"/>
            </w:pPr>
            <w:r>
              <w:rPr>
                <w:sz w:val="18"/>
              </w:rPr>
              <w:t>Needs, nexus and apportionment (community, recreation and open space; overall method)</w:t>
            </w:r>
          </w:p>
        </w:tc>
        <w:tc>
          <w:tcPr>
            <w:tcW w:type="dxa" w:w="2381"/>
          </w:tcPr>
          <w:p>
            <w:pPr>
              <w:keepNext/>
              <w:spacing w:after="40"/>
            </w:pPr>
            <w:r>
              <w:rPr>
                <w:sz w:val="18"/>
              </w:rPr>
              <w:t>$</w:t>
            </w:r>
          </w:p>
        </w:tc>
      </w:tr>
      <w:tr>
        <w:trPr>
          <w:cantSplit/>
        </w:trPr>
        <w:tc>
          <w:tcPr>
            <w:tcW w:type="dxa" w:w="794"/>
          </w:tcPr>
          <w:p>
            <w:pPr>
              <w:keepNext/>
              <w:spacing w:after="40"/>
            </w:pPr>
            <w:r>
              <w:rPr>
                <w:sz w:val="18"/>
              </w:rPr>
              <w:t>3</w:t>
            </w:r>
          </w:p>
        </w:tc>
        <w:tc>
          <w:tcPr>
            <w:tcW w:type="dxa" w:w="6236"/>
          </w:tcPr>
          <w:p>
            <w:pPr>
              <w:keepNext/>
              <w:spacing w:after="40"/>
            </w:pPr>
            <w:r>
              <w:rPr>
                <w:sz w:val="18"/>
              </w:rPr>
              <w:t>Draft Section 7.11 and Section 7.12 plans</w:t>
            </w:r>
          </w:p>
        </w:tc>
        <w:tc>
          <w:tcPr>
            <w:tcW w:type="dxa" w:w="2381"/>
          </w:tcPr>
          <w:p>
            <w:pPr>
              <w:keepNext/>
              <w:spacing w:after="40"/>
            </w:pPr>
            <w:r>
              <w:rPr>
                <w:sz w:val="18"/>
              </w:rPr>
              <w:t>$</w:t>
            </w:r>
          </w:p>
        </w:tc>
      </w:tr>
      <w:tr>
        <w:trPr>
          <w:cantSplit/>
        </w:trPr>
        <w:tc>
          <w:tcPr>
            <w:tcW w:type="dxa" w:w="794"/>
          </w:tcPr>
          <w:p>
            <w:pPr>
              <w:keepNext/>
              <w:spacing w:after="40"/>
            </w:pPr>
            <w:r>
              <w:rPr>
                <w:sz w:val="18"/>
              </w:rPr>
              <w:t>4</w:t>
            </w:r>
          </w:p>
        </w:tc>
        <w:tc>
          <w:tcPr>
            <w:tcW w:type="dxa" w:w="6236"/>
          </w:tcPr>
          <w:p>
            <w:pPr>
              <w:keepNext/>
              <w:spacing w:after="40"/>
            </w:pPr>
            <w:r>
              <w:rPr>
                <w:sz w:val="18"/>
              </w:rPr>
              <w:t>Public exhibition, submissions report and final plans</w:t>
            </w:r>
          </w:p>
        </w:tc>
        <w:tc>
          <w:tcPr>
            <w:tcW w:type="dxa" w:w="2381"/>
          </w:tcPr>
          <w:p>
            <w:pPr>
              <w:keepNext/>
              <w:spacing w:after="40"/>
            </w:pPr>
            <w:r>
              <w:rPr>
                <w:sz w:val="18"/>
              </w:rPr>
              <w:t>$</w:t>
            </w:r>
          </w:p>
        </w:tc>
      </w:tr>
      <w:tr>
        <w:trPr>
          <w:cantSplit/>
        </w:trPr>
        <w:tc>
          <w:tcPr>
            <w:tcW w:type="dxa" w:w="794"/>
          </w:tcPr>
          <w:p>
            <w:pPr>
              <w:keepNext/>
              <w:spacing w:after="40"/>
            </w:pPr>
            <w:r>
              <w:rPr>
                <w:sz w:val="18"/>
              </w:rPr>
              <w:t>5</w:t>
            </w:r>
          </w:p>
        </w:tc>
        <w:tc>
          <w:tcPr>
            <w:tcW w:type="dxa" w:w="6236"/>
          </w:tcPr>
          <w:p>
            <w:pPr>
              <w:keepNext/>
              <w:spacing w:after="40"/>
            </w:pPr>
            <w:r>
              <w:rPr>
                <w:sz w:val="18"/>
              </w:rPr>
              <w:t>Framework for future contributions plans (planning content)</w:t>
            </w:r>
          </w:p>
        </w:tc>
        <w:tc>
          <w:tcPr>
            <w:tcW w:type="dxa" w:w="2381"/>
          </w:tcPr>
          <w:p>
            <w:pPr>
              <w:keepNext/>
              <w:spacing w:after="40"/>
            </w:pPr>
            <w:r>
              <w:rPr>
                <w:sz w:val="18"/>
              </w:rPr>
              <w:t>$</w:t>
            </w:r>
          </w:p>
        </w:tc>
      </w:tr>
      <w:tr>
        <w:trPr>
          <w:cantSplit/>
        </w:trPr>
        <w:tc>
          <w:tcPr>
            <w:tcW w:type="dxa" w:w="794"/>
          </w:tcPr>
          <w:p>
            <w:pPr>
              <w:keepNext/>
              <w:spacing w:after="40"/>
            </w:pPr>
            <w:r>
              <w:rPr>
                <w:sz w:val="18"/>
              </w:rPr>
              <w:t>6</w:t>
            </w:r>
          </w:p>
        </w:tc>
        <w:tc>
          <w:tcPr>
            <w:tcW w:type="dxa" w:w="6236"/>
          </w:tcPr>
          <w:p>
            <w:pPr>
              <w:keepNext/>
              <w:spacing w:after="40"/>
            </w:pPr>
            <w:r>
              <w:rPr>
                <w:sz w:val="18"/>
              </w:rPr>
              <w:t>Six project meetings and one Councillor briefing</w:t>
            </w:r>
          </w:p>
        </w:tc>
        <w:tc>
          <w:tcPr>
            <w:tcW w:type="dxa" w:w="2381"/>
          </w:tcPr>
          <w:p>
            <w:pPr>
              <w:keepNext/>
              <w:spacing w:after="40"/>
            </w:pPr>
            <w:r>
              <w:rPr>
                <w:sz w:val="18"/>
              </w:rPr>
              <w:t>$</w:t>
            </w:r>
          </w:p>
        </w:tc>
      </w:tr>
      <w:tr>
        <w:trPr>
          <w:cantSplit/>
        </w:trPr>
        <w:tc>
          <w:tcPr>
            <w:tcW w:type="dxa" w:w="794"/>
          </w:tcPr>
          <w:p>
            <w:pPr>
              <w:keepNext/>
              <w:spacing w:after="40"/>
            </w:pPr>
            <w:r>
              <w:rPr>
                <w:sz w:val="18"/>
              </w:rPr>
              <w:t>7</w:t>
            </w:r>
          </w:p>
        </w:tc>
        <w:tc>
          <w:tcPr>
            <w:tcW w:type="dxa" w:w="6236"/>
          </w:tcPr>
          <w:p>
            <w:pPr>
              <w:keepNext/>
              <w:spacing w:after="40"/>
            </w:pPr>
            <w:r>
              <w:rPr>
                <w:sz w:val="18"/>
              </w:rPr>
              <w:t>Disbursements (list)</w:t>
            </w:r>
          </w:p>
        </w:tc>
        <w:tc>
          <w:tcPr>
            <w:tcW w:type="dxa" w:w="2381"/>
          </w:tcPr>
          <w:p>
            <w:pPr>
              <w:keepNext/>
              <w:spacing w:after="40"/>
            </w:pPr>
            <w:r>
              <w:rPr>
                <w:sz w:val="18"/>
              </w:rPr>
              <w:t>$</w:t>
            </w:r>
          </w:p>
        </w:tc>
      </w:tr>
      <w:tr>
        <w:trPr>
          <w:cantSplit/>
        </w:trPr>
        <w:tc>
          <w:tcPr>
            <w:tcW w:type="dxa" w:w="794"/>
            <w:shd w:val="clear" w:color="auto" w:fill="E8EEF5"/>
          </w:tcPr>
          <w:p>
            <w:pPr>
              <w:spacing w:after="40"/>
            </w:pPr>
            <w:r>
              <w:rPr>
                <w:b/>
                <w:sz w:val="18"/>
              </w:rPr>
            </w:r>
          </w:p>
        </w:tc>
        <w:tc>
          <w:tcPr>
            <w:tcW w:type="dxa" w:w="6236"/>
            <w:shd w:val="clear" w:color="auto" w:fill="E8EEF5"/>
          </w:tcPr>
          <w:p>
            <w:pPr>
              <w:spacing w:after="40"/>
            </w:pPr>
            <w:r>
              <w:rPr>
                <w:b/>
                <w:sz w:val="18"/>
              </w:rPr>
              <w:t>Total lump sum (excl. GST)</w:t>
            </w:r>
          </w:p>
        </w:tc>
        <w:tc>
          <w:tcPr>
            <w:tcW w:type="dxa" w:w="2381"/>
            <w:shd w:val="clear" w:color="auto" w:fill="E8EEF5"/>
          </w:tcPr>
          <w:p>
            <w:pPr>
              <w:spacing w:after="40"/>
            </w:pPr>
            <w:r>
              <w:rPr>
                <w:b/>
                <w:sz w:val="18"/>
              </w:rPr>
              <w:t>$</w:t>
            </w:r>
          </w:p>
        </w:tc>
      </w:tr>
    </w:tbl>
    <w:p>
      <w:pPr>
        <w:spacing w:after="40"/>
      </w:pPr>
    </w:p>
    <w:p>
      <w:pPr>
        <w:keepNext/>
      </w:pPr>
      <w:r>
        <w:rPr>
          <w:b/>
        </w:rPr>
        <w:t>Hourly rates for variations (excl. GST):</w:t>
      </w:r>
    </w:p>
    <w:tbl>
      <w:tblPr>
        <w:tblStyle w:val="TableGrid"/>
        <w:jc w:val="center"/>
        <w:tblLayout w:type="fixed"/>
        <w:tblLook w:firstColumn="1" w:firstRow="1" w:lastColumn="0" w:lastRow="0" w:noHBand="0" w:noVBand="1" w:val="04A0"/>
        <w:tblW w:w="9412" w:type="dxa"/>
        <w:tblLayout w:type="fixed"/>
      </w:tblPr>
      <w:tblGrid>
        <w:gridCol w:w="3628"/>
        <w:gridCol w:w="3402"/>
        <w:gridCol w:w="2381"/>
      </w:tblGrid>
      <w:tr>
        <w:trPr>
          <w:tblHeader w:val="true"/>
          <w:cantSplit/>
        </w:trPr>
        <w:tc>
          <w:tcPr>
            <w:tcW w:type="dxa" w:w="3628"/>
            <w:shd w:val="clear" w:color="auto" w:fill="1F3A5F"/>
          </w:tcPr>
          <w:p>
            <w:pPr>
              <w:keepNext/>
              <w:spacing w:after="40"/>
            </w:pPr>
            <w:r>
              <w:rPr>
                <w:b/>
                <w:color w:val="FFFFFF"/>
                <w:sz w:val="18"/>
              </w:rPr>
              <w:t>Role</w:t>
            </w:r>
          </w:p>
        </w:tc>
        <w:tc>
          <w:tcPr>
            <w:tcW w:type="dxa" w:w="3402"/>
            <w:shd w:val="clear" w:color="auto" w:fill="1F3A5F"/>
          </w:tcPr>
          <w:p>
            <w:pPr>
              <w:keepNext/>
              <w:spacing w:after="40"/>
            </w:pPr>
            <w:r>
              <w:rPr>
                <w:b/>
                <w:color w:val="FFFFFF"/>
                <w:sz w:val="18"/>
              </w:rPr>
              <w:t>Name</w:t>
            </w:r>
          </w:p>
        </w:tc>
        <w:tc>
          <w:tcPr>
            <w:tcW w:type="dxa" w:w="2381"/>
            <w:shd w:val="clear" w:color="auto" w:fill="1F3A5F"/>
          </w:tcPr>
          <w:p>
            <w:pPr>
              <w:keepNext/>
              <w:spacing w:after="40"/>
            </w:pPr>
            <w:r>
              <w:rPr>
                <w:b/>
                <w:color w:val="FFFFFF"/>
                <w:sz w:val="18"/>
              </w:rPr>
              <w:t>Rate ($/hr excl. GST)</w:t>
            </w:r>
          </w:p>
        </w:tc>
      </w:tr>
      <w:tr>
        <w:trPr>
          <w:cantSplit/>
        </w:trPr>
        <w:tc>
          <w:tcPr>
            <w:tcW w:type="dxa" w:w="3628"/>
          </w:tcPr>
          <w:p>
            <w:pPr>
              <w:keepNext/>
              <w:spacing w:after="40"/>
            </w:pPr>
            <w:r>
              <w:rPr>
                <w:sz w:val="18"/>
              </w:rPr>
              <w:t>Director / principal planner</w:t>
            </w:r>
          </w:p>
        </w:tc>
        <w:tc>
          <w:tcPr>
            <w:tcW w:type="dxa" w:w="3402"/>
          </w:tcPr>
          <w:p>
            <w:pPr>
              <w:keepNext/>
              <w:spacing w:after="40"/>
            </w:pPr>
            <w:r>
              <w:rPr>
                <w:sz w:val="18"/>
              </w:rPr>
            </w:r>
          </w:p>
        </w:tc>
        <w:tc>
          <w:tcPr>
            <w:tcW w:type="dxa" w:w="2381"/>
          </w:tcPr>
          <w:p>
            <w:pPr>
              <w:keepNext/>
              <w:spacing w:after="40"/>
            </w:pPr>
            <w:r>
              <w:rPr>
                <w:sz w:val="18"/>
              </w:rPr>
              <w:t>$</w:t>
            </w:r>
          </w:p>
        </w:tc>
      </w:tr>
      <w:tr>
        <w:trPr>
          <w:cantSplit/>
        </w:trPr>
        <w:tc>
          <w:tcPr>
            <w:tcW w:type="dxa" w:w="3628"/>
          </w:tcPr>
          <w:p>
            <w:pPr>
              <w:keepNext/>
              <w:spacing w:after="40"/>
            </w:pPr>
            <w:r>
              <w:rPr>
                <w:sz w:val="18"/>
              </w:rPr>
              <w:t>Senior planner</w:t>
            </w:r>
          </w:p>
        </w:tc>
        <w:tc>
          <w:tcPr>
            <w:tcW w:type="dxa" w:w="3402"/>
          </w:tcPr>
          <w:p>
            <w:pPr>
              <w:keepNext/>
              <w:spacing w:after="40"/>
            </w:pPr>
            <w:r>
              <w:rPr>
                <w:sz w:val="18"/>
              </w:rPr>
            </w:r>
          </w:p>
        </w:tc>
        <w:tc>
          <w:tcPr>
            <w:tcW w:type="dxa" w:w="2381"/>
          </w:tcPr>
          <w:p>
            <w:pPr>
              <w:keepNext/>
              <w:spacing w:after="40"/>
            </w:pPr>
            <w:r>
              <w:rPr>
                <w:sz w:val="18"/>
              </w:rPr>
              <w:t>$</w:t>
            </w:r>
          </w:p>
        </w:tc>
      </w:tr>
      <w:tr>
        <w:trPr>
          <w:cantSplit/>
        </w:trPr>
        <w:tc>
          <w:tcPr>
            <w:tcW w:type="dxa" w:w="3628"/>
          </w:tcPr>
          <w:p>
            <w:pPr>
              <w:keepNext/>
              <w:spacing w:after="40"/>
            </w:pPr>
            <w:r>
              <w:rPr>
                <w:sz w:val="18"/>
              </w:rPr>
              <w:t>Planner</w:t>
            </w:r>
          </w:p>
        </w:tc>
        <w:tc>
          <w:tcPr>
            <w:tcW w:type="dxa" w:w="3402"/>
          </w:tcPr>
          <w:p>
            <w:pPr>
              <w:keepNext/>
              <w:spacing w:after="40"/>
            </w:pPr>
            <w:r>
              <w:rPr>
                <w:sz w:val="18"/>
              </w:rPr>
            </w:r>
          </w:p>
        </w:tc>
        <w:tc>
          <w:tcPr>
            <w:tcW w:type="dxa" w:w="2381"/>
          </w:tcPr>
          <w:p>
            <w:pPr>
              <w:keepNext/>
              <w:spacing w:after="40"/>
            </w:pPr>
            <w:r>
              <w:rPr>
                <w:sz w:val="18"/>
              </w:rPr>
              <w:t>$</w:t>
            </w:r>
          </w:p>
        </w:tc>
      </w:tr>
      <w:tr>
        <w:trPr>
          <w:cantSplit/>
        </w:trPr>
        <w:tc>
          <w:tcPr>
            <w:tcW w:type="dxa" w:w="3628"/>
          </w:tcPr>
          <w:p>
            <w:pPr>
              <w:spacing w:after="40"/>
            </w:pPr>
            <w:r>
              <w:rPr>
                <w:sz w:val="18"/>
              </w:rPr>
              <w:t>Other (specify)</w:t>
            </w:r>
          </w:p>
        </w:tc>
        <w:tc>
          <w:tcPr>
            <w:tcW w:type="dxa" w:w="3402"/>
          </w:tcPr>
          <w:p>
            <w:pPr>
              <w:spacing w:after="40"/>
            </w:pPr>
            <w:r>
              <w:rPr>
                <w:sz w:val="18"/>
              </w:rPr>
            </w:r>
          </w:p>
        </w:tc>
        <w:tc>
          <w:tcPr>
            <w:tcW w:type="dxa" w:w="2381"/>
          </w:tcPr>
          <w:p>
            <w:pPr>
              <w:spacing w:after="40"/>
            </w:pPr>
            <w:r>
              <w:rPr>
                <w:sz w:val="18"/>
              </w:rPr>
              <w:t>$</w:t>
            </w:r>
          </w:p>
        </w:tc>
      </w:tr>
    </w:tbl>
    <w:p>
      <w:pPr>
        <w:spacing w:after="40"/>
      </w:pPr>
    </w:p>
    <w:p>
      <w:r>
        <w:rPr>
          <w:b w:val="0"/>
        </w:rPr>
        <w:t>Optional item (price separately, not in the total): attendance at a second public exhibition if Council requires one after material changes.</w:t>
      </w:r>
    </w:p>
    <w:p>
      <w:r>
        <w:rPr>
          <w:b w:val="0"/>
        </w:rPr>
        <w:t>Please list your exclusions and assumptions. Your quotation is to remain valid for 90 days from 19/10/2026.</w:t>
      </w:r>
    </w:p>
    <w:p>
      <w:pPr>
        <w:keepNext/>
        <w:spacing w:before="200" w:after="80"/>
      </w:pPr>
      <w:r>
        <w:rPr>
          <w:b/>
          <w:color w:val="1F3A5F"/>
          <w:sz w:val="22"/>
        </w:rPr>
        <w:t>10.  Confidentiality</w:t>
      </w:r>
    </w:p>
    <w:p>
      <w:r>
        <w:rPr>
          <w:b w:val="0"/>
        </w:rPr>
        <w:t>This request, Council's RFQ documents and any information JCE gives you are confidential. Please use them only to prepare your quotation, and do not pass them to others without JCE's written consent.</w:t>
      </w:r>
    </w:p>
    <w:p>
      <w:r>
        <w:rPr>
          <w:b w:val="0"/>
        </w:rPr>
        <w:t>JCE will keep your quotation and rates confidential and will use them only to prepare its response to Council. JCE may name your firm and key personnel, and include your experience and fee, in that response.</w:t>
      </w:r>
    </w:p>
    <w:p>
      <w:r>
        <w:rPr>
          <w:b w:val="0"/>
        </w:rPr>
        <w:t>Please tell JCE if you are also quoting this RFQ for another lead consultant or directly to Council.</w:t>
      </w:r>
    </w:p>
    <w:p>
      <w:pPr>
        <w:keepNext/>
        <w:spacing w:before="200" w:after="80"/>
      </w:pPr>
      <w:r>
        <w:rPr>
          <w:b/>
          <w:color w:val="1F3A5F"/>
          <w:sz w:val="22"/>
        </w:rPr>
        <w:t>11.  Conditions of this request</w:t>
      </w:r>
    </w:p>
    <w:p>
      <w:pPr>
        <w:pStyle w:val="ListBullet"/>
        <w:spacing w:after="60"/>
      </w:pPr>
      <w:r>
        <w:t>This is a request for quotation only. It is not an offer of engagement.</w:t>
      </w:r>
    </w:p>
    <w:p>
      <w:pPr>
        <w:pStyle w:val="ListBullet"/>
        <w:spacing w:after="60"/>
      </w:pPr>
      <w:r>
        <w:t>Any engagement depends on JCE being awarded the work by Council. If Council does not award the work to JCE, there will be no engagement.</w:t>
      </w:r>
    </w:p>
    <w:p>
      <w:pPr>
        <w:pStyle w:val="ListBullet"/>
        <w:spacing w:after="60"/>
      </w:pPr>
      <w:r>
        <w:t>If JCE is awarded the work, JCE will engage you on a written subconsultant agreement consistent with Council's contract terms, including insurance, liability and payment terms passed down from the head contract.</w:t>
      </w:r>
    </w:p>
    <w:p>
      <w:pPr>
        <w:pStyle w:val="ListBullet"/>
        <w:spacing w:after="60"/>
      </w:pPr>
      <w:r>
        <w:t>JCE will not pay for the preparation of quotations.</w:t>
      </w:r>
    </w:p>
    <w:p>
      <w:pPr>
        <w:pStyle w:val="ListBullet"/>
        <w:spacing w:after="60"/>
      </w:pPr>
      <w:r>
        <w:t>Quotations are to remain valid for 90 days from Council's RFQ closing date (19/10/2026).</w:t>
      </w:r>
    </w:p>
    <w:p>
      <w:pPr>
        <w:keepNext/>
        <w:spacing w:before="200" w:after="80"/>
      </w:pPr>
      <w:r>
        <w:rPr>
          <w:b/>
          <w:color w:val="1F3A5F"/>
          <w:sz w:val="22"/>
        </w:rPr>
        <w:t>12.  Submission</w:t>
      </w:r>
    </w:p>
    <w:p>
      <w:r>
        <w:rPr>
          <w:b w:val="0"/>
        </w:rPr>
        <w:t>Please email your quotation to Jayden Callen at jayden@jceinfrastructure.com.au by 12:00pm Thursday 15/10/2026.</w:t>
      </w:r>
    </w:p>
    <w:p>
      <w:r>
        <w:rPr>
          <w:b w:val="0"/>
        </w:rPr>
        <w:t>Council's RFQ closes at 2:00pm Monday 19/10/2026 (AEDT), so the turnaround is short. JCE needs your price by the due date to complete its response. If the full quotation is not possible by then, please send an indicative lump sum, your proposed lead planner and your conflict declaration by the due date, and call me to agree when the rest will follow.</w:t>
      </w:r>
    </w:p>
    <w:p>
      <w:pPr>
        <w:keepNext/>
      </w:pPr>
      <w:r>
        <w:rPr>
          <w:b w:val="0"/>
        </w:rPr>
        <w:t>Your quotation should include:</w:t>
      </w:r>
    </w:p>
    <w:p>
      <w:pPr>
        <w:pStyle w:val="ListBullet"/>
        <w:keepNext/>
        <w:spacing w:after="60"/>
      </w:pPr>
      <w:r>
        <w:t>the completed pricing schedule (lump sums by item, hourly rates, disbursements, exclusions and assumptions);</w:t>
      </w:r>
    </w:p>
    <w:p>
      <w:pPr>
        <w:pStyle w:val="ListBullet"/>
        <w:keepNext/>
        <w:spacing w:after="60"/>
      </w:pPr>
      <w:r>
        <w:t>your insurance limits and certificates of currency;</w:t>
      </w:r>
    </w:p>
    <w:p>
      <w:pPr>
        <w:pStyle w:val="ListBullet"/>
        <w:keepNext/>
        <w:spacing w:after="60"/>
      </w:pPr>
      <w:r>
        <w:t>your independence and conflict of interest declaration;</w:t>
      </w:r>
    </w:p>
    <w:p>
      <w:pPr>
        <w:pStyle w:val="ListBullet"/>
        <w:keepNext/>
        <w:spacing w:after="60"/>
      </w:pPr>
      <w:r>
        <w:t>key personnel, CVs and comparable projects with referees;</w:t>
      </w:r>
    </w:p>
    <w:p>
      <w:pPr>
        <w:pStyle w:val="ListBullet"/>
        <w:keepNext/>
        <w:spacing w:after="60"/>
      </w:pPr>
      <w:r>
        <w:t>confirmation that your quotation is valid for 90 days from 19/10/2026.</w:t>
      </w:r>
    </w:p>
    <w:p>
      <w:pPr>
        <w:keepNext/>
        <w:spacing w:after="0"/>
      </w:pPr>
      <w:r>
        <w:t>Please call me on 0477 207 027 if you would like to discuss the scope or the timing.</w:t>
      </w:r>
    </w:p>
    <w:p>
      <w:pPr>
        <w:keepNext/>
        <w:spacing w:after="0"/>
      </w:pPr>
      <w:r/>
    </w:p>
    <w:p>
      <w:pPr>
        <w:keepNext/>
        <w:spacing w:after="0"/>
      </w:pPr>
      <w:r>
        <w:t>Yours faithfully,</w:t>
      </w:r>
    </w:p>
    <w:p>
      <w:pPr>
        <w:keepNext/>
        <w:spacing w:after="0"/>
      </w:pPr>
      <w:r/>
    </w:p>
    <w:p>
      <w:pPr>
        <w:keepNext/>
        <w:spacing w:after="0"/>
      </w:pPr>
      <w:r/>
    </w:p>
    <w:p>
      <w:pPr>
        <w:keepNext/>
        <w:spacing w:after="0"/>
      </w:pPr>
      <w:r>
        <w:rPr>
          <w:b/>
        </w:rPr>
        <w:t>Jayden Callen</w:t>
      </w:r>
    </w:p>
    <w:p>
      <w:pPr>
        <w:keepNext/>
        <w:spacing w:after="0"/>
      </w:pPr>
      <w:r>
        <w:t>Director</w:t>
      </w:r>
    </w:p>
    <w:p>
      <w:pPr>
        <w:keepNext/>
        <w:spacing w:after="0"/>
      </w:pPr>
      <w:r>
        <w:t>JCE Infrastructure Pty Ltd  |  ABN 29 699 165 663</w:t>
      </w:r>
    </w:p>
    <w:p>
      <w:pPr>
        <w:spacing w:after="0"/>
      </w:pPr>
      <w:r>
        <w:t>0477 207 027  |  jayden@jceinfrastructure.com.au</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JCE Infrastructure Pty Ltd  |  ABN 29 699 165 663  |  RFQ MWRCCMS001497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