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pBdr>
          <w:bottom w:val="single" w:sz="8" w:space="4" w:color="1F3A5F"/>
        </w:pBdr>
        <w:spacing w:after="200"/>
      </w:pPr>
      <w:r>
        <w:rPr>
          <w:sz w:val="18"/>
        </w:rPr>
        <w:t>Civil and hydraulic engineering  |  ABN 29 699 165 663</w:t>
        <w:br/>
        <w:t>Phone 0477 207 027  |  jayden@jceinfrastructure.com.au</w:t>
      </w:r>
    </w:p>
    <w:p>
      <w:pPr>
        <w:spacing w:after="0"/>
      </w:pPr>
      <w:r>
        <w:rPr>
          <w:b/>
          <w:color w:val="1F3A5F"/>
          <w:sz w:val="30"/>
        </w:rPr>
        <w:t>Request for Quotation: geotechnical review (Victorian registered engineer)</w:t>
      </w:r>
    </w:p>
    <w:p>
      <w:r>
        <w:rPr>
          <w:i/>
          <w:sz w:val="21"/>
        </w:rPr>
        <w:t>Mildura Landfill capping design, environmental audit (Stages 1 and 2)</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8EEF5"/>
          </w:tcPr>
          <w:p>
            <w:r/>
            <w:r>
              <w:rPr>
                <w:b/>
                <w:sz w:val="19"/>
              </w:rPr>
              <w:t>RFQ no.</w:t>
            </w:r>
          </w:p>
        </w:tc>
        <w:tc>
          <w:tcPr>
            <w:tcW w:type="dxa" w:w="7257"/>
          </w:tcPr>
          <w:p>
            <w:r/>
            <w:r>
              <w:rPr>
                <w:sz w:val="19"/>
              </w:rPr>
              <w:t>JCE-RFQ-VP527758-GT (Rev C, final)</w:t>
            </w:r>
          </w:p>
        </w:tc>
      </w:tr>
      <w:tr>
        <w:tc>
          <w:tcPr>
            <w:tcW w:type="dxa" w:w="2381"/>
            <w:shd w:val="clear" w:color="auto" w:fill="E8EEF5"/>
          </w:tcPr>
          <w:p>
            <w:r/>
            <w:r>
              <w:rPr>
                <w:b/>
                <w:sz w:val="19"/>
              </w:rPr>
              <w:t>Date</w:t>
            </w:r>
          </w:p>
        </w:tc>
        <w:tc>
          <w:tcPr>
            <w:tcW w:type="dxa" w:w="7257"/>
          </w:tcPr>
          <w:p>
            <w:r/>
            <w:r>
              <w:rPr>
                <w:sz w:val="19"/>
              </w:rPr>
              <w:t>12/10/2026</w:t>
            </w:r>
          </w:p>
        </w:tc>
      </w:tr>
      <w:tr>
        <w:tc>
          <w:tcPr>
            <w:tcW w:type="dxa" w:w="2381"/>
            <w:shd w:val="clear" w:color="auto" w:fill="E8EEF5"/>
          </w:tcPr>
          <w:p>
            <w:r/>
            <w:r>
              <w:rPr>
                <w:b/>
                <w:sz w:val="19"/>
              </w:rPr>
              <w:t>To</w:t>
            </w:r>
          </w:p>
        </w:tc>
        <w:tc>
          <w:tcPr>
            <w:tcW w:type="dxa" w:w="7257"/>
          </w:tcPr>
          <w:p>
            <w:r/>
            <w:r>
              <w:rPr>
                <w:sz w:val="19"/>
              </w:rPr>
              <w:t>Geotechnical team (Melbourne), Douglas Partners Pty Ltd</w:t>
            </w:r>
          </w:p>
        </w:tc>
      </w:tr>
      <w:tr>
        <w:tc>
          <w:tcPr>
            <w:tcW w:type="dxa" w:w="2381"/>
            <w:shd w:val="clear" w:color="auto" w:fill="E8EEF5"/>
          </w:tcPr>
          <w:p>
            <w:r/>
            <w:r>
              <w:rPr>
                <w:b/>
                <w:sz w:val="19"/>
              </w:rPr>
              <w:t>From</w:t>
            </w:r>
          </w:p>
        </w:tc>
        <w:tc>
          <w:tcPr>
            <w:tcW w:type="dxa" w:w="7257"/>
          </w:tcPr>
          <w:p>
            <w:r/>
            <w:r>
              <w:rPr>
                <w:sz w:val="19"/>
              </w:rPr>
              <w:t>Jayden Callen, Director, JCE Infrastructure Pty Ltd</w:t>
            </w:r>
          </w:p>
        </w:tc>
      </w:tr>
      <w:tr>
        <w:tc>
          <w:tcPr>
            <w:tcW w:type="dxa" w:w="2381"/>
            <w:shd w:val="clear" w:color="auto" w:fill="E8EEF5"/>
          </w:tcPr>
          <w:p>
            <w:r/>
            <w:r>
              <w:rPr>
                <w:b/>
                <w:sz w:val="19"/>
              </w:rPr>
              <w:t>Project</w:t>
            </w:r>
          </w:p>
        </w:tc>
        <w:tc>
          <w:tcPr>
            <w:tcW w:type="dxa" w:w="7257"/>
          </w:tcPr>
          <w:p>
            <w:r/>
            <w:r>
              <w:rPr>
                <w:sz w:val="19"/>
              </w:rPr>
              <w:t>Mildura Rural City Council Tender 2027/336, Environmental Audit Services - Mildura Landfill Capping Design (VendorPanel VP527758)</w:t>
            </w:r>
          </w:p>
        </w:tc>
      </w:tr>
      <w:tr>
        <w:tc>
          <w:tcPr>
            <w:tcW w:type="dxa" w:w="2381"/>
            <w:shd w:val="clear" w:color="auto" w:fill="E8EEF5"/>
          </w:tcPr>
          <w:p>
            <w:r/>
            <w:r>
              <w:rPr>
                <w:b/>
                <w:sz w:val="19"/>
              </w:rPr>
              <w:t>Quotation due</w:t>
            </w:r>
          </w:p>
        </w:tc>
        <w:tc>
          <w:tcPr>
            <w:tcW w:type="dxa" w:w="7257"/>
          </w:tcPr>
          <w:p>
            <w:r/>
            <w:r>
              <w:rPr>
                <w:sz w:val="19"/>
              </w:rPr>
              <w:t>12:00 pm (AEDT) Friday 16/10/2026</w:t>
            </w:r>
          </w:p>
        </w:tc>
      </w:tr>
      <w:tr>
        <w:tc>
          <w:tcPr>
            <w:tcW w:type="dxa" w:w="2381"/>
            <w:shd w:val="clear" w:color="auto" w:fill="E8EEF5"/>
          </w:tcPr>
          <w:p>
            <w:r/>
            <w:r>
              <w:rPr>
                <w:b/>
                <w:sz w:val="19"/>
              </w:rPr>
              <w:t>Tender closes</w:t>
            </w:r>
          </w:p>
        </w:tc>
        <w:tc>
          <w:tcPr>
            <w:tcW w:type="dxa" w:w="7257"/>
          </w:tcPr>
          <w:p>
            <w:r/>
            <w:r>
              <w:rPr>
                <w:sz w:val="19"/>
              </w:rPr>
              <w:t>2:00 pm (AEDT) Thursday 22/10/2026</w:t>
            </w:r>
          </w:p>
        </w:tc>
      </w:tr>
    </w:tbl>
    <w:p/>
    <w:p>
      <w:pPr>
        <w:keepNext/>
        <w:spacing w:before="200" w:after="80"/>
      </w:pPr>
      <w:r>
        <w:rPr>
          <w:b/>
          <w:color w:val="1F3A5F"/>
          <w:sz w:val="24"/>
        </w:rPr>
        <w:t>1.  Purpose of this request</w:t>
      </w:r>
    </w:p>
    <w:p>
      <w:r>
        <w:t>JCE Infrastructure Pty Ltd (JCE) is preparing a tender to Mildura Rural City Council (Council) for the environmental audit of the Mildura Landfill capping design, led by an EPA Victoria appointed environmental auditor engaged by JCE. JCE invites you to quote for a geotechnical review of the cap design as input to the auditor, carried out or directly supervised by a professional engineer registered in Victoria in civil engineering.</w:t>
      </w:r>
    </w:p>
    <w:p>
      <w:r>
        <w:t>The reviewer does not certify the design, which remains the responsibility of Council's Design Consultant. The auditor makes every audit determination.</w:t>
      </w:r>
    </w:p>
    <w:p>
      <w:pPr>
        <w:keepNext/>
        <w:spacing w:before="200" w:after="80"/>
      </w:pPr>
      <w:r>
        <w:rPr>
          <w:b/>
          <w:color w:val="1F3A5F"/>
          <w:sz w:val="24"/>
        </w:rPr>
        <w:t>2.  Project and tender background</w:t>
      </w:r>
    </w:p>
    <w:p>
      <w:r>
        <w:t>Mildura Landfill, 15 Scherger Drive, Mildura (EPA licence OL000019951) is an unlined single cell landfill in use since at least 1972, moving to a transfer station only operation with landfilling planned to cease from the 2028/29 financial year. Council's separate Design Consultant prepares the cap design. The auditor reviews it under section 208 of the Environment Protection Act 2017 against the Landfill BPEM (EPA Publication 788.3), EPA Publication 1323, the licence conditions and the EP Act 2017, at Stage Gate 1 (concept, one formal review cycle) and Stage Gate 2 (detailed, tender-ready, two formal review cycles). Stage 3 construction oversight is excluded.</w:t>
      </w:r>
    </w:p>
    <w:tbl>
      <w:tblPr>
        <w:tblStyle w:val="TableGrid"/>
        <w:tblW w:type="auto" w:w="0"/>
        <w:jc w:val="center"/>
        <w:tblLayout w:type="fixed"/>
        <w:tblLook w:firstColumn="1" w:firstRow="1" w:lastColumn="0" w:lastRow="0" w:noHBand="0" w:noVBand="1" w:val="04A0"/>
      </w:tblPr>
      <w:tblGrid>
        <w:gridCol w:w="2835"/>
        <w:gridCol w:w="6803"/>
      </w:tblGrid>
      <w:tr>
        <w:trPr>
          <w:cantSplit/>
        </w:trPr>
        <w:tc>
          <w:tcPr>
            <w:tcW w:type="dxa" w:w="2835"/>
            <w:shd w:val="clear" w:color="auto" w:fill="1F3A5F"/>
          </w:tcPr>
          <w:p>
            <w:r/>
            <w:r>
              <w:rPr>
                <w:b/>
                <w:color w:val="FFFFFF"/>
                <w:sz w:val="19"/>
              </w:rPr>
              <w:t>Date</w:t>
            </w:r>
          </w:p>
        </w:tc>
        <w:tc>
          <w:tcPr>
            <w:tcW w:type="dxa" w:w="6803"/>
            <w:shd w:val="clear" w:color="auto" w:fill="1F3A5F"/>
          </w:tcPr>
          <w:p>
            <w:r/>
            <w:r>
              <w:rPr>
                <w:b/>
                <w:color w:val="FFFFFF"/>
                <w:sz w:val="19"/>
              </w:rPr>
              <w:t>Detail</w:t>
            </w:r>
          </w:p>
        </w:tc>
      </w:tr>
      <w:tr>
        <w:trPr>
          <w:cantSplit/>
        </w:trPr>
        <w:tc>
          <w:tcPr>
            <w:tcW w:type="dxa" w:w="2835"/>
          </w:tcPr>
          <w:p>
            <w:r/>
            <w:r>
              <w:rPr>
                <w:sz w:val="19"/>
              </w:rPr>
              <w:t>Site inspection (Council)</w:t>
            </w:r>
          </w:p>
        </w:tc>
        <w:tc>
          <w:tcPr>
            <w:tcW w:type="dxa" w:w="6803"/>
          </w:tcPr>
          <w:p>
            <w:r/>
            <w:r>
              <w:rPr>
                <w:sz w:val="19"/>
              </w:rPr>
              <w:t>11:00 am Tuesday 13/10/2026 at the landfill per Specification s14 (VendorPanel summary says 22/10/2026; JCE is asking Council to confirm). Recommended, not mandatory</w:t>
            </w:r>
          </w:p>
        </w:tc>
      </w:tr>
      <w:tr>
        <w:trPr>
          <w:cantSplit/>
        </w:trPr>
        <w:tc>
          <w:tcPr>
            <w:tcW w:type="dxa" w:w="2835"/>
          </w:tcPr>
          <w:p>
            <w:r/>
            <w:r>
              <w:rPr>
                <w:sz w:val="19"/>
              </w:rPr>
              <w:t>Questions to JCE</w:t>
            </w:r>
          </w:p>
        </w:tc>
        <w:tc>
          <w:tcPr>
            <w:tcW w:type="dxa" w:w="6803"/>
          </w:tcPr>
          <w:p>
            <w:r/>
            <w:r>
              <w:rPr>
                <w:sz w:val="19"/>
              </w:rPr>
              <w:t>12:00 pm (AEDT) Wednesday 14/10/2026</w:t>
            </w:r>
          </w:p>
        </w:tc>
      </w:tr>
      <w:tr>
        <w:trPr>
          <w:cantSplit/>
        </w:trPr>
        <w:tc>
          <w:tcPr>
            <w:tcW w:type="dxa" w:w="2835"/>
          </w:tcPr>
          <w:p>
            <w:r/>
            <w:r>
              <w:rPr>
                <w:sz w:val="19"/>
              </w:rPr>
              <w:t>Discrepancies to Council</w:t>
            </w:r>
          </w:p>
        </w:tc>
        <w:tc>
          <w:tcPr>
            <w:tcW w:type="dxa" w:w="6803"/>
          </w:tcPr>
          <w:p>
            <w:r/>
            <w:r>
              <w:rPr>
                <w:sz w:val="19"/>
              </w:rPr>
              <w:t>2:00 pm Thursday 15/10/2026 (7 days before close)</w:t>
            </w:r>
          </w:p>
        </w:tc>
      </w:tr>
      <w:tr>
        <w:trPr>
          <w:cantSplit/>
        </w:trPr>
        <w:tc>
          <w:tcPr>
            <w:tcW w:type="dxa" w:w="2835"/>
          </w:tcPr>
          <w:p>
            <w:r/>
            <w:r>
              <w:rPr>
                <w:sz w:val="19"/>
              </w:rPr>
              <w:t>Quotation due to JCE</w:t>
            </w:r>
          </w:p>
        </w:tc>
        <w:tc>
          <w:tcPr>
            <w:tcW w:type="dxa" w:w="6803"/>
          </w:tcPr>
          <w:p>
            <w:r/>
            <w:r>
              <w:rPr>
                <w:sz w:val="19"/>
              </w:rPr>
              <w:t>12:00 pm (AEDT) Friday 16/10/2026</w:t>
            </w:r>
          </w:p>
        </w:tc>
      </w:tr>
      <w:tr>
        <w:trPr>
          <w:cantSplit/>
        </w:trPr>
        <w:tc>
          <w:tcPr>
            <w:tcW w:type="dxa" w:w="2835"/>
          </w:tcPr>
          <w:p>
            <w:r/>
            <w:r>
              <w:rPr>
                <w:sz w:val="19"/>
              </w:rPr>
              <w:t>Questions to Council close</w:t>
            </w:r>
          </w:p>
        </w:tc>
        <w:tc>
          <w:tcPr>
            <w:tcW w:type="dxa" w:w="6803"/>
          </w:tcPr>
          <w:p>
            <w:r/>
            <w:r>
              <w:rPr>
                <w:sz w:val="19"/>
              </w:rPr>
              <w:t>2:00 pm Monday 19/10/2026, VendorPanel forum only</w:t>
            </w:r>
          </w:p>
        </w:tc>
      </w:tr>
      <w:tr>
        <w:trPr>
          <w:cantSplit/>
        </w:trPr>
        <w:tc>
          <w:tcPr>
            <w:tcW w:type="dxa" w:w="2835"/>
          </w:tcPr>
          <w:p>
            <w:r/>
            <w:r>
              <w:rPr>
                <w:sz w:val="19"/>
              </w:rPr>
              <w:t>Tender closes</w:t>
            </w:r>
          </w:p>
        </w:tc>
        <w:tc>
          <w:tcPr>
            <w:tcW w:type="dxa" w:w="6803"/>
          </w:tcPr>
          <w:p>
            <w:r/>
            <w:r>
              <w:rPr>
                <w:sz w:val="19"/>
              </w:rPr>
              <w:t>2:00 pm (AEDT) Thursday 22/10/2026</w:t>
            </w:r>
          </w:p>
        </w:tc>
      </w:tr>
      <w:tr>
        <w:trPr>
          <w:cantSplit/>
        </w:trPr>
        <w:tc>
          <w:tcPr>
            <w:tcW w:type="dxa" w:w="2835"/>
          </w:tcPr>
          <w:p>
            <w:r/>
            <w:r>
              <w:rPr>
                <w:sz w:val="19"/>
              </w:rPr>
              <w:t>Council decision / award</w:t>
            </w:r>
          </w:p>
        </w:tc>
        <w:tc>
          <w:tcPr>
            <w:tcW w:type="dxa" w:w="6803"/>
          </w:tcPr>
          <w:p>
            <w:r/>
            <w:r>
              <w:rPr>
                <w:sz w:val="19"/>
              </w:rPr>
              <w:t>05/11/2026 (expected) / December 2026</w:t>
            </w:r>
          </w:p>
        </w:tc>
      </w:tr>
      <w:tr>
        <w:trPr>
          <w:cantSplit/>
        </w:trPr>
        <w:tc>
          <w:tcPr>
            <w:tcW w:type="dxa" w:w="2835"/>
          </w:tcPr>
          <w:p>
            <w:r/>
            <w:r>
              <w:rPr>
                <w:sz w:val="19"/>
              </w:rPr>
              <w:t>Practical completion</w:t>
            </w:r>
          </w:p>
        </w:tc>
        <w:tc>
          <w:tcPr>
            <w:tcW w:type="dxa" w:w="6803"/>
          </w:tcPr>
          <w:p>
            <w:r/>
            <w:r>
              <w:rPr>
                <w:sz w:val="19"/>
              </w:rPr>
              <w:t>August 2027 (Annexure item 13: 31/08/2027; negotiable)</w:t>
            </w:r>
          </w:p>
        </w:tc>
      </w:tr>
    </w:tbl>
    <w:p/>
    <w:p>
      <w:pPr>
        <w:keepNext/>
        <w:spacing w:before="200" w:after="80"/>
      </w:pPr>
      <w:r>
        <w:rPr>
          <w:b/>
          <w:color w:val="1F3A5F"/>
          <w:sz w:val="24"/>
        </w:rPr>
        <w:t>3.  Scope of services</w:t>
      </w:r>
    </w:p>
    <w:p>
      <w:pPr>
        <w:keepNext/>
        <w:spacing w:before="80"/>
      </w:pPr>
      <w:r>
        <w:rPr>
          <w:b/>
        </w:rPr>
        <w:t>Item G1: Stage 1, concept design (Stage Gate 1)</w:t>
      </w:r>
    </w:p>
    <w:p>
      <w:pPr>
        <w:pStyle w:val="ListBullet"/>
        <w:spacing w:after="40"/>
      </w:pPr>
      <w:r>
        <w:t>Review of the geotechnical information Council provides: site investigations, existing cell and cap construction records, and borrow source information.</w:t>
      </w:r>
    </w:p>
    <w:p>
      <w:pPr>
        <w:pStyle w:val="ListBullet"/>
        <w:spacing w:after="40"/>
      </w:pPr>
      <w:r>
        <w:t>Geotechnical review of the concept design: slope and veneer stability of the cap on batters (including geosynthetic interfaces where used), total and differential settlement allowances, suitability and availability of cap materials (clay, geosynthetic clay liner, drainage aggregate, topsoil), compaction and permeability criteria, and the geotechnical aspects of any alternative cover such as a phytocap.</w:t>
      </w:r>
    </w:p>
    <w:p>
      <w:pPr>
        <w:pStyle w:val="ListBullet"/>
        <w:spacing w:after="40"/>
      </w:pPr>
      <w:r>
        <w:t>Geotechnical comments in JCE's consolidated review register for the auditor, a short Stage 1 geotechnical memorandum, and review of the Design Consultant's responses (one round).</w:t>
      </w:r>
    </w:p>
    <w:p>
      <w:pPr>
        <w:keepNext/>
        <w:spacing w:before="80"/>
      </w:pPr>
      <w:r>
        <w:rPr>
          <w:b/>
        </w:rPr>
        <w:t>Item G2: Stage 2, detailed design (Stage Gate 2)</w:t>
      </w:r>
    </w:p>
    <w:p>
      <w:pPr>
        <w:pStyle w:val="ListBullet"/>
        <w:spacing w:after="40"/>
      </w:pPr>
      <w:r>
        <w:t>Geotechnical review of up to two detailed design submissions (matching Council's two formal review cycles).</w:t>
      </w:r>
    </w:p>
    <w:p>
      <w:pPr>
        <w:pStyle w:val="ListBullet"/>
        <w:spacing w:after="40"/>
      </w:pPr>
      <w:r>
        <w:t>Review of the technical specifications (earthworks, barrier layer, drainage layers, geosynthetics) and the geotechnical parts of the CQA Plan: test methods, frequencies, acceptance criteria and hold points.</w:t>
      </w:r>
    </w:p>
    <w:p>
      <w:pPr>
        <w:pStyle w:val="ListBullet"/>
        <w:spacing w:after="40"/>
      </w:pPr>
      <w:r>
        <w:t>Register comments, close-out of one round of responses per submission, and a short Stage 2 geotechnical memorandum.</w:t>
      </w:r>
    </w:p>
    <w:p>
      <w:pPr>
        <w:keepNext/>
        <w:spacing w:before="80"/>
      </w:pPr>
      <w:r>
        <w:rPr>
          <w:b/>
        </w:rPr>
        <w:t>Item G3: Registered engineer supervision and verification (price separately)</w:t>
      </w:r>
    </w:p>
    <w:p>
      <w:r>
        <w:t>Civil engineering is a prescribed area under the Professional Engineers Registration Act 2019 (Vic). JCE's civil and hydraulic review input is to be directly supervised and verified by a Victorian registered engineer (civil). Please confirm whether you can provide this and price it separately. JCE estimates 6 to 10 hours across both stages.</w:t>
      </w:r>
    </w:p>
    <w:p>
      <w:pPr>
        <w:keepNext/>
        <w:spacing w:before="80"/>
      </w:pPr>
      <w:r>
        <w:rPr>
          <w:b/>
        </w:rPr>
        <w:t>Options</w:t>
      </w:r>
    </w:p>
    <w:p>
      <w:r>
        <w:t>Option 1: one site inspection of Mildura Landfill, including travel. Option 2: attendance at an online workshop, as a rate per workshop (up to three).</w:t>
      </w:r>
    </w:p>
    <w:p>
      <w:pPr>
        <w:keepNext/>
        <w:spacing w:before="200" w:after="80"/>
      </w:pPr>
      <w:r>
        <w:rPr>
          <w:b/>
          <w:color w:val="1F3A5F"/>
          <w:sz w:val="24"/>
        </w:rPr>
        <w:t>4.  Deliverables and turnaround</w:t>
      </w:r>
    </w:p>
    <w:tbl>
      <w:tblPr>
        <w:tblStyle w:val="TableGrid"/>
        <w:tblW w:type="auto" w:w="0"/>
        <w:jc w:val="center"/>
        <w:tblLayout w:type="fixed"/>
        <w:tblLook w:firstColumn="1" w:firstRow="1" w:lastColumn="0" w:lastRow="0" w:noHBand="0" w:noVBand="1" w:val="04A0"/>
      </w:tblPr>
      <w:tblGrid>
        <w:gridCol w:w="6236"/>
        <w:gridCol w:w="3402"/>
      </w:tblGrid>
      <w:tr>
        <w:trPr>
          <w:cantSplit/>
        </w:trPr>
        <w:tc>
          <w:tcPr>
            <w:tcW w:type="dxa" w:w="6236"/>
            <w:shd w:val="clear" w:color="auto" w:fill="1F3A5F"/>
          </w:tcPr>
          <w:p>
            <w:r/>
            <w:r>
              <w:rPr>
                <w:b/>
                <w:color w:val="FFFFFF"/>
                <w:sz w:val="19"/>
              </w:rPr>
              <w:t>Deliverable</w:t>
            </w:r>
          </w:p>
        </w:tc>
        <w:tc>
          <w:tcPr>
            <w:tcW w:type="dxa" w:w="3402"/>
            <w:shd w:val="clear" w:color="auto" w:fill="1F3A5F"/>
          </w:tcPr>
          <w:p>
            <w:r/>
            <w:r>
              <w:rPr>
                <w:b/>
                <w:color w:val="FFFFFF"/>
                <w:sz w:val="19"/>
              </w:rPr>
              <w:t>Format</w:t>
            </w:r>
          </w:p>
        </w:tc>
      </w:tr>
      <w:tr>
        <w:trPr>
          <w:cantSplit/>
        </w:trPr>
        <w:tc>
          <w:tcPr>
            <w:tcW w:type="dxa" w:w="6236"/>
          </w:tcPr>
          <w:p>
            <w:r/>
            <w:r>
              <w:rPr>
                <w:sz w:val="19"/>
              </w:rPr>
              <w:t>Geotechnical comments in the review registers, each referenced and categorised</w:t>
            </w:r>
          </w:p>
        </w:tc>
        <w:tc>
          <w:tcPr>
            <w:tcW w:type="dxa" w:w="3402"/>
          </w:tcPr>
          <w:p>
            <w:r/>
            <w:r>
              <w:rPr>
                <w:sz w:val="19"/>
              </w:rPr>
              <w:t>Excel (JCE template)</w:t>
            </w:r>
          </w:p>
        </w:tc>
      </w:tr>
      <w:tr>
        <w:trPr>
          <w:cantSplit/>
        </w:trPr>
        <w:tc>
          <w:tcPr>
            <w:tcW w:type="dxa" w:w="6236"/>
          </w:tcPr>
          <w:p>
            <w:r/>
            <w:r>
              <w:rPr>
                <w:sz w:val="19"/>
              </w:rPr>
              <w:t>Stage 1 geotechnical memorandum</w:t>
            </w:r>
          </w:p>
        </w:tc>
        <w:tc>
          <w:tcPr>
            <w:tcW w:type="dxa" w:w="3402"/>
          </w:tcPr>
          <w:p>
            <w:r/>
            <w:r>
              <w:rPr>
                <w:sz w:val="19"/>
              </w:rPr>
              <w:t>PDF, signed by the registered engineer</w:t>
            </w:r>
          </w:p>
        </w:tc>
      </w:tr>
      <w:tr>
        <w:trPr>
          <w:cantSplit/>
        </w:trPr>
        <w:tc>
          <w:tcPr>
            <w:tcW w:type="dxa" w:w="6236"/>
          </w:tcPr>
          <w:p>
            <w:r/>
            <w:r>
              <w:rPr>
                <w:sz w:val="19"/>
              </w:rPr>
              <w:t>Stage 2 geotechnical memorandum with close-out of comments</w:t>
            </w:r>
          </w:p>
        </w:tc>
        <w:tc>
          <w:tcPr>
            <w:tcW w:type="dxa" w:w="3402"/>
          </w:tcPr>
          <w:p>
            <w:r/>
            <w:r>
              <w:rPr>
                <w:sz w:val="19"/>
              </w:rPr>
              <w:t>PDF, signed by the registered engineer</w:t>
            </w:r>
          </w:p>
        </w:tc>
      </w:tr>
      <w:tr>
        <w:trPr>
          <w:cantSplit/>
        </w:trPr>
        <w:tc>
          <w:tcPr>
            <w:tcW w:type="dxa" w:w="6236"/>
          </w:tcPr>
          <w:p>
            <w:r/>
            <w:r>
              <w:rPr>
                <w:sz w:val="19"/>
              </w:rPr>
              <w:t>Verification record for JCE's review outputs (Item G3, if engaged)</w:t>
            </w:r>
          </w:p>
        </w:tc>
        <w:tc>
          <w:tcPr>
            <w:tcW w:type="dxa" w:w="3402"/>
          </w:tcPr>
          <w:p>
            <w:r/>
            <w:r>
              <w:rPr>
                <w:sz w:val="19"/>
              </w:rPr>
              <w:t>PDF or signed register</w:t>
            </w:r>
          </w:p>
        </w:tc>
      </w:tr>
    </w:tbl>
    <w:p/>
    <w:p>
      <w:r>
        <w:t>Comments within 12 business days of receiving each design submission, so that JCE can consolidate the register for the auditor within 15 business days. Please confirm or propose your own.</w:t>
      </w:r>
    </w:p>
    <w:p>
      <w:pPr>
        <w:keepNext/>
        <w:spacing w:before="200" w:after="80"/>
      </w:pPr>
      <w:r>
        <w:rPr>
          <w:b/>
          <w:color w:val="1F3A5F"/>
          <w:sz w:val="24"/>
        </w:rPr>
        <w:t>5.  Program</w:t>
      </w:r>
    </w:p>
    <w:p>
      <w:r>
        <w:t>Council expects to award in December 2026 and reach practical completion in August 2027. Stage dates follow the Design Consultant's program, which Council has not yet published.</w:t>
      </w:r>
    </w:p>
    <w:p>
      <w:pPr>
        <w:keepNext/>
        <w:spacing w:before="200" w:after="80"/>
      </w:pPr>
      <w:r>
        <w:rPr>
          <w:b/>
          <w:color w:val="1F3A5F"/>
          <w:sz w:val="24"/>
        </w:rPr>
        <w:t>6.  Information provided</w:t>
      </w:r>
    </w:p>
    <w:p>
      <w:r>
        <w:t>Attached with this request: Council's Specification, Engagement Schedule and Mildura Landfill Background Information. Public references: EPA Publications 788.3 (Landfill BPEM) and 1323 (Landfill licensing).</w:t>
      </w:r>
    </w:p>
    <w:p>
      <w:pPr>
        <w:keepNext/>
        <w:spacing w:before="200" w:after="80"/>
      </w:pPr>
      <w:r>
        <w:rPr>
          <w:b/>
          <w:color w:val="1F3A5F"/>
          <w:sz w:val="24"/>
        </w:rPr>
        <w:t>7.  Registration and qualifications</w:t>
      </w:r>
    </w:p>
    <w:p>
      <w:pPr>
        <w:pStyle w:val="ListBullet"/>
        <w:spacing w:after="40"/>
      </w:pPr>
      <w:r>
        <w:t>Name and Victorian registration number (area: civil engineering) of the engineer who will carry out or directly supervise the review and sign the memoranda.</w:t>
      </w:r>
    </w:p>
    <w:p>
      <w:pPr>
        <w:pStyle w:val="ListBullet"/>
        <w:spacing w:after="40"/>
      </w:pPr>
      <w:r>
        <w:t>A CV of no more than two pages for each person proposed, and two relevant landfill cap or containment projects with client, year and a referee.</w:t>
      </w:r>
    </w:p>
    <w:p>
      <w:pPr>
        <w:pStyle w:val="ListBullet"/>
        <w:spacing w:after="40"/>
      </w:pPr>
      <w:r>
        <w:t>A short outline of how your outputs are checked before issue.</w:t>
      </w:r>
    </w:p>
    <w:p>
      <w:pPr>
        <w:keepNext/>
        <w:spacing w:before="200" w:after="80"/>
      </w:pPr>
      <w:r>
        <w:rPr>
          <w:b/>
          <w:color w:val="1F3A5F"/>
          <w:sz w:val="24"/>
        </w:rPr>
        <w:t>8.  Insurance and contract terms</w:t>
      </w:r>
    </w:p>
    <w:p>
      <w:pPr>
        <w:pStyle w:val="ListBullet"/>
        <w:spacing w:after="40"/>
      </w:pPr>
      <w:r>
        <w:rPr>
          <w:b/>
        </w:rPr>
        <w:t xml:space="preserve">Professional indemnity: </w:t>
      </w:r>
      <w:r>
        <w:t>not less than $5 million, maintained for 12 months after completion of the contract (Annexure Part A items 26 and 27).</w:t>
      </w:r>
    </w:p>
    <w:p>
      <w:pPr>
        <w:pStyle w:val="ListBullet"/>
        <w:spacing w:after="40"/>
      </w:pPr>
      <w:r>
        <w:rPr>
          <w:b/>
        </w:rPr>
        <w:t xml:space="preserve">Public liability: </w:t>
      </w:r>
      <w:r>
        <w:t>not less than $10 million (Annexure item 25; Conditions of Tender 6.6).</w:t>
      </w:r>
    </w:p>
    <w:p>
      <w:pPr>
        <w:pStyle w:val="ListBullet"/>
        <w:spacing w:after="40"/>
      </w:pPr>
      <w:r>
        <w:rPr>
          <w:b/>
        </w:rPr>
        <w:t xml:space="preserve">Workers compensation: </w:t>
      </w:r>
      <w:r>
        <w:t>as required by law (AS 4122 clause 30). The Form of Tender asks for WorkCover policy details, so please give insurer, policy number and expiry if you hold a policy.</w:t>
      </w:r>
    </w:p>
    <w:p>
      <w:pPr>
        <w:pStyle w:val="ListBullet"/>
        <w:spacing w:after="40"/>
      </w:pPr>
      <w:r>
        <w:rPr>
          <w:b/>
        </w:rPr>
        <w:t xml:space="preserve">Evidence: </w:t>
      </w:r>
      <w:r>
        <w:t>certificates of currency for each policy with your quotation.</w:t>
      </w:r>
    </w:p>
    <w:p>
      <w:r>
        <w:t>The head contract is AS 4122-2010 with Council's Annexures. The consultant's liability is capped at $10 million (Annexure item 24), and Annexure Part B item 3 adds an indemnity in Council's favour that includes indirect and consequential losses and legal costs on a full indemnity basis. Payment is within 30 business days of a claim, disbursements are included in the lump sum, copyright vests in Council (Alternative 2) and all contract documents are confidential. Please list any departures you would need. JCE has asked Council (RFI 6) whether the cap applies to the Part B indemnity.</w:t>
      </w:r>
    </w:p>
    <w:p>
      <w:pPr>
        <w:keepNext/>
        <w:spacing w:before="200" w:after="80"/>
      </w:pPr>
      <w:r>
        <w:rPr>
          <w:b/>
          <w:color w:val="1F3A5F"/>
          <w:sz w:val="24"/>
        </w:rPr>
        <w:t>9.  Independence and conflict of interest</w:t>
      </w:r>
    </w:p>
    <w:p>
      <w:r>
        <w:t>The review supports an independent statutory audit. With your quotation, please declare in writing:</w:t>
      </w:r>
    </w:p>
    <w:p>
      <w:pPr>
        <w:pStyle w:val="ListBullet"/>
        <w:spacing w:after="40"/>
      </w:pPr>
      <w:r>
        <w:t>any past or current involvement with Mildura Landfill (design, investigations, CQA, monitoring or audits);</w:t>
      </w:r>
    </w:p>
    <w:p>
      <w:pPr>
        <w:pStyle w:val="ListBullet"/>
        <w:spacing w:after="40"/>
      </w:pPr>
      <w:r>
        <w:t>any relationship with Council's Design Consultant (to be confirmed by Council), and confirmation that you are not involved in the cap design; and</w:t>
      </w:r>
    </w:p>
    <w:p>
      <w:pPr>
        <w:pStyle w:val="ListBullet"/>
        <w:spacing w:after="40"/>
      </w:pPr>
      <w:r>
        <w:t>that you will tell JCE promptly if a conflict arises during the tender or the contract.</w:t>
      </w:r>
    </w:p>
    <w:p>
      <w:pPr>
        <w:keepNext/>
        <w:spacing w:before="200" w:after="80"/>
      </w:pPr>
      <w:r>
        <w:rPr>
          <w:b/>
          <w:color w:val="1F3A5F"/>
          <w:sz w:val="24"/>
        </w:rPr>
        <w:t>10.  Other requirements</w:t>
      </w:r>
    </w:p>
    <w:p>
      <w:r>
        <w:t>Your WHS policy and a risk assessment or safe work method statement for a landfill site inspection (landfill gas, operating plant, uneven ground, heat and sun). Council's site induction, PPE and Prequalified Contractor requirements apply before any work on Council property.</w:t>
      </w:r>
    </w:p>
    <w:p>
      <w:pPr>
        <w:keepNext/>
        <w:spacing w:before="200" w:after="80"/>
      </w:pPr>
      <w:r>
        <w:rPr>
          <w:b/>
          <w:color w:val="1F3A5F"/>
          <w:sz w:val="24"/>
        </w:rPr>
        <w:t>11.  Pricing schedule</w:t>
      </w:r>
    </w:p>
    <w:p>
      <w:r>
        <w:t>Please price each item as a fixed lump sum in Australian dollars, excluding GST, including all fees, disbursements and travel unless stated as an option.</w:t>
      </w:r>
    </w:p>
    <w:tbl>
      <w:tblPr>
        <w:tblStyle w:val="TableGrid"/>
        <w:tblW w:type="auto" w:w="0"/>
        <w:jc w:val="center"/>
        <w:tblLayout w:type="fixed"/>
        <w:tblLook w:firstColumn="1" w:firstRow="1" w:lastColumn="0" w:lastRow="0" w:noHBand="0" w:noVBand="1" w:val="04A0"/>
      </w:tblPr>
      <w:tblGrid>
        <w:gridCol w:w="850"/>
        <w:gridCol w:w="6520"/>
        <w:gridCol w:w="2268"/>
      </w:tblGrid>
      <w:tr>
        <w:trPr>
          <w:cantSplit/>
        </w:trPr>
        <w:tc>
          <w:tcPr>
            <w:tcW w:type="dxa" w:w="850"/>
            <w:shd w:val="clear" w:color="auto" w:fill="1F3A5F"/>
          </w:tcPr>
          <w:p>
            <w:r/>
            <w:r>
              <w:rPr>
                <w:b/>
                <w:color w:val="FFFFFF"/>
                <w:sz w:val="19"/>
              </w:rPr>
              <w:t>Item</w:t>
            </w:r>
          </w:p>
        </w:tc>
        <w:tc>
          <w:tcPr>
            <w:tcW w:type="dxa" w:w="6520"/>
            <w:shd w:val="clear" w:color="auto" w:fill="1F3A5F"/>
          </w:tcPr>
          <w:p>
            <w:r/>
            <w:r>
              <w:rPr>
                <w:b/>
                <w:color w:val="FFFFFF"/>
                <w:sz w:val="19"/>
              </w:rPr>
              <w:t>Description</w:t>
            </w:r>
          </w:p>
        </w:tc>
        <w:tc>
          <w:tcPr>
            <w:tcW w:type="dxa" w:w="2268"/>
            <w:shd w:val="clear" w:color="auto" w:fill="1F3A5F"/>
          </w:tcPr>
          <w:p>
            <w:r/>
            <w:r>
              <w:rPr>
                <w:b/>
                <w:color w:val="FFFFFF"/>
                <w:sz w:val="19"/>
              </w:rPr>
              <w:t>Lump sum (excl. GST)</w:t>
            </w:r>
          </w:p>
        </w:tc>
      </w:tr>
      <w:tr>
        <w:trPr>
          <w:cantSplit/>
        </w:trPr>
        <w:tc>
          <w:tcPr>
            <w:tcW w:type="dxa" w:w="850"/>
          </w:tcPr>
          <w:p>
            <w:r/>
            <w:r>
              <w:rPr>
                <w:sz w:val="19"/>
              </w:rPr>
              <w:t>G1</w:t>
            </w:r>
          </w:p>
        </w:tc>
        <w:tc>
          <w:tcPr>
            <w:tcW w:type="dxa" w:w="6520"/>
          </w:tcPr>
          <w:p>
            <w:r/>
            <w:r>
              <w:rPr>
                <w:sz w:val="19"/>
              </w:rPr>
              <w:t>Stage 1: information review, concept design geotechnical review, register comments, memorandum and close-out</w:t>
            </w:r>
          </w:p>
        </w:tc>
        <w:tc>
          <w:tcPr>
            <w:tcW w:type="dxa" w:w="2268"/>
          </w:tcPr>
          <w:p>
            <w:r/>
            <w:r>
              <w:rPr>
                <w:sz w:val="19"/>
              </w:rPr>
              <w:t>$</w:t>
            </w:r>
          </w:p>
        </w:tc>
      </w:tr>
      <w:tr>
        <w:trPr>
          <w:cantSplit/>
        </w:trPr>
        <w:tc>
          <w:tcPr>
            <w:tcW w:type="dxa" w:w="850"/>
          </w:tcPr>
          <w:p>
            <w:r/>
            <w:r>
              <w:rPr>
                <w:sz w:val="19"/>
              </w:rPr>
              <w:t>G2</w:t>
            </w:r>
          </w:p>
        </w:tc>
        <w:tc>
          <w:tcPr>
            <w:tcW w:type="dxa" w:w="6520"/>
          </w:tcPr>
          <w:p>
            <w:r/>
            <w:r>
              <w:rPr>
                <w:sz w:val="19"/>
              </w:rPr>
              <w:t>Stage 2: up to two detailed design submissions, specifications and CQA Plan review, register comments, memorandum and close-out</w:t>
            </w:r>
          </w:p>
        </w:tc>
        <w:tc>
          <w:tcPr>
            <w:tcW w:type="dxa" w:w="2268"/>
          </w:tcPr>
          <w:p>
            <w:r/>
            <w:r>
              <w:rPr>
                <w:sz w:val="19"/>
              </w:rPr>
              <w:t>$</w:t>
            </w:r>
          </w:p>
        </w:tc>
      </w:tr>
      <w:tr>
        <w:trPr>
          <w:cantSplit/>
        </w:trPr>
        <w:tc>
          <w:tcPr>
            <w:tcW w:type="dxa" w:w="850"/>
          </w:tcPr>
          <w:p>
            <w:r/>
            <w:r>
              <w:rPr>
                <w:b/>
                <w:sz w:val="19"/>
              </w:rPr>
            </w:r>
          </w:p>
        </w:tc>
        <w:tc>
          <w:tcPr>
            <w:tcW w:type="dxa" w:w="6520"/>
          </w:tcPr>
          <w:p>
            <w:r/>
            <w:r>
              <w:rPr>
                <w:b/>
                <w:sz w:val="19"/>
              </w:rPr>
              <w:t>Total, Stages 1 and 2 (excl. GST)</w:t>
            </w:r>
          </w:p>
        </w:tc>
        <w:tc>
          <w:tcPr>
            <w:tcW w:type="dxa" w:w="2268"/>
          </w:tcPr>
          <w:p>
            <w:r/>
            <w:r>
              <w:rPr>
                <w:b/>
                <w:sz w:val="19"/>
              </w:rPr>
              <w:t>$</w:t>
            </w:r>
          </w:p>
        </w:tc>
      </w:tr>
      <w:tr>
        <w:trPr>
          <w:cantSplit/>
        </w:trPr>
        <w:tc>
          <w:tcPr>
            <w:tcW w:type="dxa" w:w="850"/>
          </w:tcPr>
          <w:p>
            <w:r/>
            <w:r>
              <w:rPr>
                <w:sz w:val="19"/>
              </w:rPr>
              <w:t>G3</w:t>
            </w:r>
          </w:p>
        </w:tc>
        <w:tc>
          <w:tcPr>
            <w:tcW w:type="dxa" w:w="6520"/>
          </w:tcPr>
          <w:p>
            <w:r/>
            <w:r>
              <w:rPr>
                <w:sz w:val="19"/>
              </w:rPr>
              <w:t>Registered engineer supervision and verification of JCE's review outputs (both stages)</w:t>
            </w:r>
          </w:p>
        </w:tc>
        <w:tc>
          <w:tcPr>
            <w:tcW w:type="dxa" w:w="2268"/>
          </w:tcPr>
          <w:p>
            <w:r/>
            <w:r>
              <w:rPr>
                <w:sz w:val="19"/>
              </w:rPr>
              <w:t>$</w:t>
            </w:r>
          </w:p>
        </w:tc>
      </w:tr>
      <w:tr>
        <w:trPr>
          <w:cantSplit/>
        </w:trPr>
        <w:tc>
          <w:tcPr>
            <w:tcW w:type="dxa" w:w="850"/>
          </w:tcPr>
          <w:p>
            <w:r/>
            <w:r>
              <w:rPr>
                <w:sz w:val="19"/>
              </w:rPr>
              <w:t>OPT1</w:t>
            </w:r>
          </w:p>
        </w:tc>
        <w:tc>
          <w:tcPr>
            <w:tcW w:type="dxa" w:w="6520"/>
          </w:tcPr>
          <w:p>
            <w:r/>
            <w:r>
              <w:rPr>
                <w:sz w:val="19"/>
              </w:rPr>
              <w:t>Site inspection of Mildura Landfill, including travel</w:t>
            </w:r>
          </w:p>
        </w:tc>
        <w:tc>
          <w:tcPr>
            <w:tcW w:type="dxa" w:w="2268"/>
          </w:tcPr>
          <w:p>
            <w:r/>
            <w:r>
              <w:rPr>
                <w:sz w:val="19"/>
              </w:rPr>
              <w:t>$</w:t>
            </w:r>
          </w:p>
        </w:tc>
      </w:tr>
      <w:tr>
        <w:trPr>
          <w:cantSplit/>
        </w:trPr>
        <w:tc>
          <w:tcPr>
            <w:tcW w:type="dxa" w:w="850"/>
          </w:tcPr>
          <w:p>
            <w:r/>
            <w:r>
              <w:rPr>
                <w:sz w:val="19"/>
              </w:rPr>
              <w:t>OPT2</w:t>
            </w:r>
          </w:p>
        </w:tc>
        <w:tc>
          <w:tcPr>
            <w:tcW w:type="dxa" w:w="6520"/>
          </w:tcPr>
          <w:p>
            <w:r/>
            <w:r>
              <w:rPr>
                <w:sz w:val="19"/>
              </w:rPr>
              <w:t>Online workshop attendance (rate per workshop)</w:t>
            </w:r>
          </w:p>
        </w:tc>
        <w:tc>
          <w:tcPr>
            <w:tcW w:type="dxa" w:w="2268"/>
          </w:tcPr>
          <w:p>
            <w:r/>
            <w:r>
              <w:rPr>
                <w:sz w:val="19"/>
              </w:rPr>
              <w:t>$</w:t>
            </w:r>
          </w:p>
        </w:tc>
      </w:tr>
    </w:tbl>
    <w:p/>
    <w:tbl>
      <w:tblPr>
        <w:tblStyle w:val="TableGrid"/>
        <w:tblW w:type="auto" w:w="0"/>
        <w:jc w:val="center"/>
        <w:tblLayout w:type="fixed"/>
        <w:tblLook w:firstColumn="1" w:firstRow="1" w:lastColumn="0" w:lastRow="0" w:noHBand="0" w:noVBand="1" w:val="04A0"/>
      </w:tblPr>
      <w:tblGrid>
        <w:gridCol w:w="4535"/>
        <w:gridCol w:w="2835"/>
        <w:gridCol w:w="2268"/>
      </w:tblGrid>
      <w:tr>
        <w:trPr>
          <w:cantSplit/>
        </w:trPr>
        <w:tc>
          <w:tcPr>
            <w:tcW w:type="dxa" w:w="4535"/>
            <w:shd w:val="clear" w:color="auto" w:fill="1F3A5F"/>
          </w:tcPr>
          <w:p>
            <w:r/>
            <w:r>
              <w:rPr>
                <w:b/>
                <w:color w:val="FFFFFF"/>
                <w:sz w:val="19"/>
              </w:rPr>
              <w:t>Hourly rates for agreed variations (excl. GST)</w:t>
            </w:r>
          </w:p>
        </w:tc>
        <w:tc>
          <w:tcPr>
            <w:tcW w:type="dxa" w:w="2835"/>
            <w:shd w:val="clear" w:color="auto" w:fill="1F3A5F"/>
          </w:tcPr>
          <w:p>
            <w:r/>
            <w:r>
              <w:rPr>
                <w:b/>
                <w:color w:val="FFFFFF"/>
                <w:sz w:val="19"/>
              </w:rPr>
              <w:t>Name</w:t>
            </w:r>
          </w:p>
        </w:tc>
        <w:tc>
          <w:tcPr>
            <w:tcW w:type="dxa" w:w="2268"/>
            <w:shd w:val="clear" w:color="auto" w:fill="1F3A5F"/>
          </w:tcPr>
          <w:p>
            <w:r/>
            <w:r>
              <w:rPr>
                <w:b/>
                <w:color w:val="FFFFFF"/>
                <w:sz w:val="19"/>
              </w:rPr>
              <w:t>Rate ($/hr)</w:t>
            </w:r>
          </w:p>
        </w:tc>
      </w:tr>
      <w:tr>
        <w:trPr>
          <w:cantSplit/>
        </w:trPr>
        <w:tc>
          <w:tcPr>
            <w:tcW w:type="dxa" w:w="4535"/>
          </w:tcPr>
          <w:p>
            <w:r/>
            <w:r>
              <w:rPr>
                <w:sz w:val="19"/>
              </w:rPr>
              <w:t>Registered engineer (reviewer)</w:t>
            </w:r>
          </w:p>
        </w:tc>
        <w:tc>
          <w:tcPr>
            <w:tcW w:type="dxa" w:w="2835"/>
          </w:tcPr>
          <w:p>
            <w:r/>
            <w:r>
              <w:rPr>
                <w:sz w:val="19"/>
              </w:rPr>
            </w:r>
          </w:p>
        </w:tc>
        <w:tc>
          <w:tcPr>
            <w:tcW w:type="dxa" w:w="2268"/>
          </w:tcPr>
          <w:p>
            <w:r/>
            <w:r>
              <w:rPr>
                <w:sz w:val="19"/>
              </w:rPr>
            </w:r>
          </w:p>
        </w:tc>
      </w:tr>
      <w:tr>
        <w:trPr>
          <w:cantSplit/>
        </w:trPr>
        <w:tc>
          <w:tcPr>
            <w:tcW w:type="dxa" w:w="4535"/>
          </w:tcPr>
          <w:p>
            <w:r/>
            <w:r>
              <w:rPr>
                <w:sz w:val="19"/>
              </w:rPr>
              <w:t>Other geotechnical staff</w:t>
            </w:r>
          </w:p>
        </w:tc>
        <w:tc>
          <w:tcPr>
            <w:tcW w:type="dxa" w:w="2835"/>
          </w:tcPr>
          <w:p>
            <w:r/>
            <w:r>
              <w:rPr>
                <w:sz w:val="19"/>
              </w:rPr>
            </w:r>
          </w:p>
        </w:tc>
        <w:tc>
          <w:tcPr>
            <w:tcW w:type="dxa" w:w="2268"/>
          </w:tcPr>
          <w:p>
            <w:r/>
            <w:r>
              <w:rPr>
                <w:sz w:val="19"/>
              </w:rPr>
            </w:r>
          </w:p>
        </w:tc>
      </w:tr>
    </w:tbl>
    <w:p/>
    <w:tbl>
      <w:tblPr>
        <w:tblStyle w:val="TableGrid"/>
        <w:tblW w:type="auto" w:w="0"/>
        <w:jc w:val="center"/>
        <w:tblLayout w:type="fixed"/>
        <w:tblLook w:firstColumn="1" w:firstRow="1" w:lastColumn="0" w:lastRow="0" w:noHBand="0" w:noVBand="1" w:val="04A0"/>
      </w:tblPr>
      <w:tblGrid>
        <w:gridCol w:w="4535"/>
        <w:gridCol w:w="5102"/>
      </w:tblGrid>
      <w:tr>
        <w:trPr>
          <w:cantSplit/>
        </w:trPr>
        <w:tc>
          <w:tcPr>
            <w:tcW w:type="dxa" w:w="4535"/>
            <w:shd w:val="clear" w:color="auto" w:fill="1F3A5F"/>
          </w:tcPr>
          <w:p>
            <w:r/>
            <w:r>
              <w:rPr>
                <w:b/>
                <w:color w:val="FFFFFF"/>
                <w:sz w:val="19"/>
              </w:rPr>
              <w:t>Please also state</w:t>
            </w:r>
          </w:p>
        </w:tc>
        <w:tc>
          <w:tcPr>
            <w:tcW w:type="dxa" w:w="5102"/>
            <w:shd w:val="clear" w:color="auto" w:fill="1F3A5F"/>
          </w:tcPr>
          <w:p>
            <w:r/>
            <w:r>
              <w:rPr>
                <w:b/>
                <w:color w:val="FFFFFF"/>
                <w:sz w:val="19"/>
              </w:rPr>
              <w:t>Your response</w:t>
            </w:r>
          </w:p>
        </w:tc>
      </w:tr>
      <w:tr>
        <w:trPr>
          <w:cantSplit/>
        </w:trPr>
        <w:tc>
          <w:tcPr>
            <w:tcW w:type="dxa" w:w="4535"/>
          </w:tcPr>
          <w:p>
            <w:r/>
            <w:r>
              <w:rPr>
                <w:sz w:val="19"/>
              </w:rPr>
              <w:t>Assumptions</w:t>
            </w:r>
          </w:p>
        </w:tc>
        <w:tc>
          <w:tcPr>
            <w:tcW w:type="dxa" w:w="5102"/>
          </w:tcPr>
          <w:p>
            <w:r/>
            <w:r>
              <w:rPr>
                <w:sz w:val="19"/>
              </w:rPr>
            </w:r>
          </w:p>
        </w:tc>
      </w:tr>
      <w:tr>
        <w:trPr>
          <w:cantSplit/>
        </w:trPr>
        <w:tc>
          <w:tcPr>
            <w:tcW w:type="dxa" w:w="4535"/>
          </w:tcPr>
          <w:p>
            <w:r/>
            <w:r>
              <w:rPr>
                <w:sz w:val="19"/>
              </w:rPr>
              <w:t>Exclusions</w:t>
            </w:r>
          </w:p>
        </w:tc>
        <w:tc>
          <w:tcPr>
            <w:tcW w:type="dxa" w:w="5102"/>
          </w:tcPr>
          <w:p>
            <w:r/>
            <w:r>
              <w:rPr>
                <w:sz w:val="19"/>
              </w:rPr>
            </w:r>
          </w:p>
        </w:tc>
      </w:tr>
      <w:tr>
        <w:trPr>
          <w:cantSplit/>
        </w:trPr>
        <w:tc>
          <w:tcPr>
            <w:tcW w:type="dxa" w:w="4535"/>
          </w:tcPr>
          <w:p>
            <w:r/>
            <w:r>
              <w:rPr>
                <w:sz w:val="19"/>
              </w:rPr>
              <w:t>Validity</w:t>
            </w:r>
          </w:p>
        </w:tc>
        <w:tc>
          <w:tcPr>
            <w:tcW w:type="dxa" w:w="5102"/>
          </w:tcPr>
          <w:p>
            <w:r/>
            <w:r>
              <w:rPr>
                <w:sz w:val="19"/>
              </w:rPr>
              <w:t>90 days after Council's tender close, that is to 20/01/2027 (Council holds tender prices for 90 days after close)</w:t>
            </w:r>
          </w:p>
        </w:tc>
      </w:tr>
    </w:tbl>
    <w:p/>
    <w:p>
      <w:pPr>
        <w:keepNext/>
        <w:spacing w:before="200" w:after="80"/>
      </w:pPr>
      <w:r>
        <w:rPr>
          <w:b/>
          <w:color w:val="1F3A5F"/>
          <w:sz w:val="24"/>
        </w:rPr>
        <w:t>12.  Confidentiality</w:t>
      </w:r>
    </w:p>
    <w:p>
      <w:r>
        <w:t>This request and the tender information attached are confidential. Use them only to prepare your quotation and do not disclose them outside your firm without JCE's written consent. JCE will treat your quotation as confidential and will include your fee in its tender only as part of JCE's price.</w:t>
      </w:r>
    </w:p>
    <w:p>
      <w:pPr>
        <w:keepNext/>
        <w:spacing w:before="200" w:after="80"/>
      </w:pPr>
      <w:r>
        <w:rPr>
          <w:b/>
          <w:color w:val="1F3A5F"/>
          <w:sz w:val="24"/>
        </w:rPr>
        <w:t>13.  Basis of engagement</w:t>
      </w:r>
    </w:p>
    <w:p>
      <w:pPr>
        <w:pStyle w:val="ListBullet"/>
        <w:spacing w:after="40"/>
      </w:pPr>
      <w:r>
        <w:t>Any engagement depends on Council awarding the contract to JCE and approving you as a subconsultant under AS 4122 clause 20.3. If JCE is not awarded the contract, there is no engagement.</w:t>
      </w:r>
    </w:p>
    <w:p>
      <w:pPr>
        <w:pStyle w:val="ListBullet"/>
        <w:spacing w:after="40"/>
      </w:pPr>
      <w:r>
        <w:t>This review is needed only if JCE leads the tender. If the auditor's own team covers the geotechnical review, JCE may not proceed with this item.</w:t>
      </w:r>
    </w:p>
    <w:p>
      <w:pPr>
        <w:pStyle w:val="ListBullet"/>
        <w:spacing w:after="40"/>
      </w:pPr>
      <w:r>
        <w:t>No fee is payable for preparing a quotation, and JCE is not obliged to accept any quotation.</w:t>
      </w:r>
    </w:p>
    <w:p>
      <w:pPr>
        <w:pStyle w:val="ListBullet"/>
        <w:spacing w:after="40"/>
      </w:pPr>
      <w:r>
        <w:t>If JCE is awarded the contract, JCE will engage you under a subconsultant agreement consistent with Council's conditions of contract, with prices fixed for the services described and hourly rates for agreed variations.</w:t>
      </w:r>
    </w:p>
    <w:p>
      <w:pPr>
        <w:keepNext/>
        <w:spacing w:before="200" w:after="80"/>
      </w:pPr>
      <w:r>
        <w:rPr>
          <w:b/>
          <w:color w:val="1F3A5F"/>
          <w:sz w:val="24"/>
        </w:rPr>
        <w:t>14.  Submission</w:t>
      </w:r>
    </w:p>
    <w:p>
      <w:r>
        <w:t>Please email your quotation to jayden@jceinfrastructure.com.au by 12:00 pm (AEDT) Friday 16/10/2026, with the subject "Quote JCE-RFQ-VP527758-GT: Mildura Landfill capping design, geotechnical review". Questions are welcome by phone or email by 12:00 pm (AEDT) Wednesday 14/10/2026.</w:t>
      </w:r>
    </w:p>
    <w:p>
      <w:r>
        <w:t>Thank you for considering this request.</w:t>
      </w:r>
    </w:p>
    <w:p>
      <w:pPr>
        <w:keepNext/>
        <w:spacing w:before="160"/>
      </w:pPr>
      <w:r>
        <w:t>Yours sincerely,</w:t>
      </w:r>
    </w:p>
    <w:p>
      <w:pPr>
        <w:keepNext/>
        <w:spacing w:before="480"/>
      </w:pPr>
      <w:r>
        <w:rPr>
          <w:b/>
        </w:rPr>
        <w:t>Jayden Callen, Director</w:t>
      </w:r>
    </w:p>
    <w:p>
      <w:pPr>
        <w:keepNext/>
        <w:spacing w:after="0"/>
      </w:pPr>
      <w:r>
        <w:t>JCE Infrastructure Pty Ltd  |  BEng (Hons), MIEAust</w:t>
      </w:r>
    </w:p>
    <w:p>
      <w:r>
        <w:t>0477 207 027  |  jayden@jceinfrastructure.com.au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JCE Infrastructure Pty Ltd  |  ABN 29 699 165 663  |  Confidential: for quotation purposes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