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Mechanical and Electrical Verification, PS C6B (Contract 2)</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JCE-RFQ-VP528755-ME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Invited subconsultant (named in the covering email)</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tbl>
      <w:tblPr>
        <w:tblStyle w:val="TableGrid"/>
        <w:tblW w:type="auto" w:w="0"/>
        <w:jc w:val="center"/>
        <w:tblLayout w:type="fixed"/>
        <w:tblLook w:firstColumn="1" w:firstRow="1" w:lastColumn="0" w:lastRow="0" w:noHBand="0" w:noVBand="1" w:val="04A0"/>
      </w:tblPr>
      <w:tblGrid>
        <w:gridCol w:w="2041"/>
        <w:gridCol w:w="3742"/>
        <w:gridCol w:w="3855"/>
      </w:tblGrid>
      <w:tr>
        <w:trPr>
          <w:tblHeader w:val="true"/>
          <w:cantSplit/>
        </w:trPr>
        <w:tc>
          <w:tcPr>
            <w:tcW w:type="dxa" w:w="2041"/>
            <w:shd w:val="clear" w:color="auto" w:fill="1F3A5F"/>
          </w:tcPr>
          <w:p>
            <w:r/>
            <w:r>
              <w:rPr>
                <w:b/>
                <w:i w:val="0"/>
                <w:color w:val="FFFFFF"/>
                <w:sz w:val="19"/>
              </w:rPr>
              <w:t>Role</w:t>
            </w:r>
          </w:p>
        </w:tc>
        <w:tc>
          <w:tcPr>
            <w:tcW w:type="dxa" w:w="3742"/>
            <w:shd w:val="clear" w:color="auto" w:fill="1F3A5F"/>
          </w:tcPr>
          <w:p>
            <w:r/>
            <w:r>
              <w:rPr>
                <w:b/>
                <w:i w:val="0"/>
                <w:color w:val="FFFFFF"/>
                <w:sz w:val="19"/>
              </w:rPr>
              <w:t>Provided by</w:t>
            </w:r>
          </w:p>
        </w:tc>
        <w:tc>
          <w:tcPr>
            <w:tcW w:type="dxa" w:w="3855"/>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742"/>
          </w:tcPr>
          <w:p>
            <w:r/>
            <w:r>
              <w:rPr>
                <w:b w:val="0"/>
                <w:i w:val="0"/>
                <w:sz w:val="19"/>
              </w:rPr>
              <w:t>JCE (Jayden Callen). Signs every notice, direction, certificate and determination, and releases hold points.</w:t>
            </w:r>
          </w:p>
        </w:tc>
        <w:tc>
          <w:tcPr>
            <w:tcW w:type="dxa" w:w="3855"/>
          </w:tcPr>
          <w:p>
            <w:r/>
            <w:r>
              <w:rPr>
                <w:b w:val="0"/>
                <w:i w:val="0"/>
                <w:sz w:val="19"/>
              </w:rPr>
              <w:t>Key hold points, shutdowns and PC inspection in person.</w:t>
            </w:r>
          </w:p>
        </w:tc>
      </w:tr>
      <w:tr>
        <w:trPr>
          <w:cantSplit/>
        </w:trPr>
        <w:tc>
          <w:tcPr>
            <w:tcW w:type="dxa" w:w="2041"/>
          </w:tcPr>
          <w:p>
            <w:r/>
            <w:r>
              <w:rPr>
                <w:b w:val="0"/>
                <w:i w:val="0"/>
                <w:sz w:val="19"/>
              </w:rPr>
              <w:t>Superintendent's Representative and Inspectors</w:t>
            </w:r>
          </w:p>
        </w:tc>
        <w:tc>
          <w:tcPr>
            <w:tcW w:type="dxa" w:w="3742"/>
          </w:tcPr>
          <w:p>
            <w:r/>
            <w:r>
              <w:rPr>
                <w:b w:val="0"/>
                <w:i w:val="0"/>
                <w:sz w:val="19"/>
              </w:rPr>
              <w:t>A Townsville partner engaged by JCE.</w:t>
            </w:r>
          </w:p>
        </w:tc>
        <w:tc>
          <w:tcPr>
            <w:tcW w:type="dxa" w:w="3855"/>
          </w:tcPr>
          <w:p>
            <w:r/>
            <w:r>
              <w:rPr>
                <w:b w:val="0"/>
                <w:i w:val="0"/>
                <w:sz w:val="19"/>
              </w:rPr>
              <w:t>Daily inspections while work is under way.</w:t>
            </w:r>
          </w:p>
        </w:tc>
      </w:tr>
      <w:tr>
        <w:trPr>
          <w:cantSplit/>
        </w:trPr>
        <w:tc>
          <w:tcPr>
            <w:tcW w:type="dxa" w:w="2041"/>
          </w:tcPr>
          <w:p>
            <w:r/>
            <w:r>
              <w:rPr>
                <w:b w:val="0"/>
                <w:i w:val="0"/>
                <w:sz w:val="19"/>
              </w:rPr>
              <w:t>M&amp;E verification (Contract 2 only)</w:t>
            </w:r>
          </w:p>
        </w:tc>
        <w:tc>
          <w:tcPr>
            <w:tcW w:type="dxa" w:w="3742"/>
          </w:tcPr>
          <w:p>
            <w:r/>
            <w:r>
              <w:rPr>
                <w:b w:val="0"/>
                <w:i w:val="0"/>
                <w:sz w:val="19"/>
              </w:rPr>
              <w:t>Your firm. Reviews and witnesses the mechanical, electrical, controls and odour control work and recommends hold point releases to the Superintendent.</w:t>
            </w:r>
          </w:p>
        </w:tc>
        <w:tc>
          <w:tcPr>
            <w:tcW w:type="dxa" w:w="3855"/>
          </w:tcPr>
          <w:p>
            <w:r/>
            <w:r>
              <w:rPr>
                <w:b w:val="0"/>
                <w:i w:val="0"/>
                <w:sz w:val="19"/>
              </w:rPr>
              <w:t>Called off by JCE to match the Contractor's submittals and test dates: about 8 to 12 attendances at PS C6B (North Vickers Rd, Condon) between July 2027 and November 2028, plus factory tests if Council requires them. Document review can be done remotely.</w:t>
            </w:r>
          </w:p>
        </w:tc>
      </w:tr>
    </w:tbl>
    <w:p>
      <w:pPr>
        <w:spacing w:after="40"/>
      </w:pPr>
    </w:p>
    <w:p>
      <w:pPr>
        <w:keepNext/>
        <w:spacing w:before="200" w:after="80"/>
      </w:pPr>
      <w:r>
        <w:rPr>
          <w:b/>
          <w:i w:val="0"/>
          <w:color w:val="1F3A5F"/>
          <w:sz w:val="24"/>
        </w:rPr>
        <w:t>3.  Scope of services</w:t>
      </w:r>
    </w:p>
    <w:p>
      <w:pPr>
        <w:pStyle w:val="ListBullet"/>
        <w:spacing w:after="40"/>
      </w:pPr>
      <w:r>
        <w:rPr>
          <w:b/>
          <w:i w:val="0"/>
        </w:rPr>
        <w:t>Submittal review:</w:t>
      </w:r>
      <w:r>
        <w:rPr>
          <w:b w:val="0"/>
          <w:i w:val="0"/>
        </w:rPr>
        <w:t xml:space="preserve"> review the Contractor's mechanical, electrical and controls submittals for PS C6B (pumps, valves and pipework, switchboard and MCC drawings, SCADA and telemetry functional description, odour control unit design to AECOM's performance specification) against the contract specification and TCC standard specifications, and give written comments to the Superintendent.</w:t>
      </w:r>
    </w:p>
    <w:p>
      <w:pPr>
        <w:pStyle w:val="ListBullet"/>
        <w:spacing w:after="40"/>
      </w:pPr>
      <w:r>
        <w:rPr>
          <w:b/>
          <w:i w:val="0"/>
        </w:rPr>
        <w:t>Factory acceptance tests:</w:t>
      </w:r>
      <w:r>
        <w:rPr>
          <w:b w:val="0"/>
          <w:i w:val="0"/>
        </w:rPr>
        <w:t xml:space="preserve"> witness switchboard and pump FATs where Council requires them.</w:t>
      </w:r>
    </w:p>
    <w:p>
      <w:pPr>
        <w:pStyle w:val="ListBullet"/>
        <w:spacing w:after="40"/>
      </w:pPr>
      <w:r>
        <w:rPr>
          <w:b/>
          <w:i w:val="0"/>
        </w:rPr>
        <w:t>Installation inspections:</w:t>
      </w:r>
      <w:r>
        <w:rPr>
          <w:b w:val="0"/>
          <w:i w:val="0"/>
        </w:rPr>
        <w:t xml:space="preserve"> inspect the mechanical and electrical installation at the hold and witness points in the Contractor's ITPs.</w:t>
      </w:r>
    </w:p>
    <w:p>
      <w:pPr>
        <w:pStyle w:val="ListBullet"/>
        <w:spacing w:after="40"/>
      </w:pPr>
      <w:r>
        <w:rPr>
          <w:b/>
          <w:i w:val="0"/>
        </w:rPr>
        <w:t>Site acceptance and commissioning:</w:t>
      </w:r>
      <w:r>
        <w:rPr>
          <w:b w:val="0"/>
          <w:i w:val="0"/>
        </w:rPr>
        <w:t xml:space="preserve"> witness site acceptance tests and SCADA and telemetry commissioning with Council's operations staff.</w:t>
      </w:r>
    </w:p>
    <w:p>
      <w:pPr>
        <w:pStyle w:val="ListBullet"/>
        <w:spacing w:after="40"/>
      </w:pPr>
      <w:r>
        <w:rPr>
          <w:b/>
          <w:i w:val="0"/>
        </w:rPr>
        <w:t>Odour control unit:</w:t>
      </w:r>
      <w:r>
        <w:rPr>
          <w:b w:val="0"/>
          <w:i w:val="0"/>
        </w:rPr>
        <w:t xml:space="preserve"> witness performance testing against AECOM's performance specification, and review commissioning records and O&amp;M manuals before Practical Completion.</w:t>
      </w:r>
    </w:p>
    <w:p>
      <w:pPr>
        <w:pStyle w:val="ListBullet"/>
        <w:spacing w:after="40"/>
      </w:pPr>
      <w:r>
        <w:rPr>
          <w:b/>
          <w:i w:val="0"/>
        </w:rPr>
        <w:t>Reporting:</w:t>
      </w:r>
      <w:r>
        <w:rPr>
          <w:b w:val="0"/>
          <w:i w:val="0"/>
        </w:rPr>
        <w:t xml:space="preserve"> a short report for each attendance, recommended hold point releases, and input to the PC defects list and the Contract 2 Completion Report.</w:t>
      </w:r>
    </w:p>
    <w:p>
      <w:pPr>
        <w:keepNext/>
        <w:spacing w:before="200" w:after="80"/>
      </w:pPr>
      <w:r>
        <w:rPr>
          <w:b/>
          <w:i w:val="0"/>
          <w:color w:val="1F3A5F"/>
          <w:sz w:val="24"/>
        </w:rPr>
        <w:t>4.  Indicative hours and program</w:t>
      </w:r>
    </w:p>
    <w:p>
      <w:pPr>
        <w:keepNext/>
      </w:pPr>
      <w:r>
        <w:rPr>
          <w:b w:val="0"/>
          <w:i w:val="0"/>
        </w:rPr>
        <w:t>About 150 hours across Contract 2 (July 2027 to November 2028), within Council's Inspector allowance. JCE will call off attendances as needed; hours are not guaranteed.</w:t>
      </w:r>
    </w:p>
    <w:tbl>
      <w:tblPr>
        <w:tblStyle w:val="TableGrid"/>
        <w:tblW w:type="auto" w:w="0"/>
        <w:jc w:val="center"/>
        <w:tblLayout w:type="fixed"/>
        <w:tblLook w:firstColumn="1" w:firstRow="1" w:lastColumn="0" w:lastRow="0" w:noHBand="0" w:noVBand="1" w:val="04A0"/>
      </w:tblPr>
      <w:tblGrid>
        <w:gridCol w:w="7371"/>
        <w:gridCol w:w="2268"/>
      </w:tblGrid>
      <w:tr>
        <w:trPr>
          <w:tblHeader w:val="true"/>
          <w:cantSplit/>
        </w:trPr>
        <w:tc>
          <w:tcPr>
            <w:tcW w:type="dxa" w:w="7370"/>
            <w:shd w:val="clear" w:color="auto" w:fill="1F3A5F"/>
          </w:tcPr>
          <w:p>
            <w:r/>
            <w:r>
              <w:rPr>
                <w:b/>
                <w:i w:val="0"/>
                <w:color w:val="FFFFFF"/>
                <w:sz w:val="19"/>
              </w:rPr>
              <w:t>Activity</w:t>
            </w:r>
          </w:p>
        </w:tc>
        <w:tc>
          <w:tcPr>
            <w:tcW w:type="dxa" w:w="2268"/>
            <w:shd w:val="clear" w:color="auto" w:fill="1F3A5F"/>
          </w:tcPr>
          <w:p>
            <w:r/>
            <w:r>
              <w:rPr>
                <w:b/>
                <w:i w:val="0"/>
                <w:color w:val="FFFFFF"/>
                <w:sz w:val="19"/>
              </w:rPr>
              <w:t>Indicative hours</w:t>
            </w:r>
          </w:p>
        </w:tc>
      </w:tr>
      <w:tr>
        <w:trPr>
          <w:cantSplit/>
        </w:trPr>
        <w:tc>
          <w:tcPr>
            <w:tcW w:type="dxa" w:w="7370"/>
          </w:tcPr>
          <w:p>
            <w:r/>
            <w:r>
              <w:rPr>
                <w:b w:val="0"/>
                <w:i w:val="0"/>
                <w:sz w:val="19"/>
              </w:rPr>
              <w:t>Submittal review (mechanical, electrical, SCADA, odour control unit)</w:t>
            </w:r>
          </w:p>
        </w:tc>
        <w:tc>
          <w:tcPr>
            <w:tcW w:type="dxa" w:w="2268"/>
          </w:tcPr>
          <w:p>
            <w:r/>
            <w:r>
              <w:rPr>
                <w:b w:val="0"/>
                <w:i w:val="0"/>
                <w:sz w:val="19"/>
              </w:rPr>
              <w:t>40</w:t>
            </w:r>
          </w:p>
        </w:tc>
      </w:tr>
      <w:tr>
        <w:trPr>
          <w:cantSplit/>
        </w:trPr>
        <w:tc>
          <w:tcPr>
            <w:tcW w:type="dxa" w:w="7370"/>
          </w:tcPr>
          <w:p>
            <w:r/>
            <w:r>
              <w:rPr>
                <w:b w:val="0"/>
                <w:i w:val="0"/>
                <w:sz w:val="19"/>
              </w:rPr>
              <w:t>Factory acceptance test witnessing (if Council requires FAT)</w:t>
            </w:r>
          </w:p>
        </w:tc>
        <w:tc>
          <w:tcPr>
            <w:tcW w:type="dxa" w:w="2268"/>
          </w:tcPr>
          <w:p>
            <w:r/>
            <w:r>
              <w:rPr>
                <w:b w:val="0"/>
                <w:i w:val="0"/>
                <w:sz w:val="19"/>
              </w:rPr>
              <w:t>30</w:t>
            </w:r>
          </w:p>
        </w:tc>
      </w:tr>
      <w:tr>
        <w:trPr>
          <w:cantSplit/>
        </w:trPr>
        <w:tc>
          <w:tcPr>
            <w:tcW w:type="dxa" w:w="7370"/>
          </w:tcPr>
          <w:p>
            <w:r/>
            <w:r>
              <w:rPr>
                <w:b w:val="0"/>
                <w:i w:val="0"/>
                <w:sz w:val="19"/>
              </w:rPr>
              <w:t>Installation inspections at hold and witness points</w:t>
            </w:r>
          </w:p>
        </w:tc>
        <w:tc>
          <w:tcPr>
            <w:tcW w:type="dxa" w:w="2268"/>
          </w:tcPr>
          <w:p>
            <w:r/>
            <w:r>
              <w:rPr>
                <w:b w:val="0"/>
                <w:i w:val="0"/>
                <w:sz w:val="19"/>
              </w:rPr>
              <w:t>30</w:t>
            </w:r>
          </w:p>
        </w:tc>
      </w:tr>
      <w:tr>
        <w:trPr>
          <w:cantSplit/>
        </w:trPr>
        <w:tc>
          <w:tcPr>
            <w:tcW w:type="dxa" w:w="7370"/>
          </w:tcPr>
          <w:p>
            <w:r/>
            <w:r>
              <w:rPr>
                <w:b w:val="0"/>
                <w:i w:val="0"/>
                <w:sz w:val="19"/>
              </w:rPr>
              <w:t>Site acceptance tests and SCADA and telemetry commissioning</w:t>
            </w:r>
          </w:p>
        </w:tc>
        <w:tc>
          <w:tcPr>
            <w:tcW w:type="dxa" w:w="2268"/>
          </w:tcPr>
          <w:p>
            <w:r/>
            <w:r>
              <w:rPr>
                <w:b w:val="0"/>
                <w:i w:val="0"/>
                <w:sz w:val="19"/>
              </w:rPr>
              <w:t>30</w:t>
            </w:r>
          </w:p>
        </w:tc>
      </w:tr>
      <w:tr>
        <w:trPr>
          <w:cantSplit/>
        </w:trPr>
        <w:tc>
          <w:tcPr>
            <w:tcW w:type="dxa" w:w="7370"/>
          </w:tcPr>
          <w:p>
            <w:r/>
            <w:r>
              <w:rPr>
                <w:b w:val="0"/>
                <w:i w:val="0"/>
                <w:sz w:val="19"/>
              </w:rPr>
              <w:t>Odour control unit performance testing and O&amp;M review</w:t>
            </w:r>
          </w:p>
        </w:tc>
        <w:tc>
          <w:tcPr>
            <w:tcW w:type="dxa" w:w="2268"/>
          </w:tcPr>
          <w:p>
            <w:r/>
            <w:r>
              <w:rPr>
                <w:b w:val="0"/>
                <w:i w:val="0"/>
                <w:sz w:val="19"/>
              </w:rPr>
              <w:t>20</w:t>
            </w:r>
          </w:p>
        </w:tc>
      </w:tr>
      <w:tr>
        <w:trPr>
          <w:cantSplit/>
        </w:trPr>
        <w:tc>
          <w:tcPr>
            <w:tcW w:type="dxa" w:w="7370"/>
            <w:shd w:val="clear" w:color="auto" w:fill="E8EEF5"/>
          </w:tcPr>
          <w:p>
            <w:r/>
            <w:r>
              <w:rPr>
                <w:b/>
                <w:i w:val="0"/>
                <w:sz w:val="19"/>
              </w:rPr>
              <w:t>Total</w:t>
            </w:r>
          </w:p>
        </w:tc>
        <w:tc>
          <w:tcPr>
            <w:tcW w:type="dxa" w:w="2268"/>
            <w:shd w:val="clear" w:color="auto" w:fill="E8EEF5"/>
          </w:tcPr>
          <w:p>
            <w:r/>
            <w:r>
              <w:rPr>
                <w:b/>
                <w:i w:val="0"/>
                <w:sz w:val="19"/>
              </w:rPr>
              <w:t>150</w:t>
            </w:r>
          </w:p>
        </w:tc>
      </w:tr>
    </w:tbl>
    <w:p>
      <w:pPr>
        <w:spacing w:after="40"/>
      </w:pP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2268"/>
        <w:gridCol w:w="2835"/>
      </w:tblGrid>
      <w:tr>
        <w:trPr>
          <w:tblHeader w:val="true"/>
          <w:cantSplit/>
        </w:trPr>
        <w:tc>
          <w:tcPr>
            <w:tcW w:type="dxa" w:w="4535"/>
            <w:shd w:val="clear" w:color="auto" w:fill="1F3A5F"/>
          </w:tcPr>
          <w:p>
            <w:r/>
            <w:r>
              <w:rPr>
                <w:b/>
                <w:i w:val="0"/>
                <w:color w:val="FFFFFF"/>
                <w:sz w:val="19"/>
              </w:rPr>
              <w:t>Deliverable</w:t>
            </w:r>
          </w:p>
        </w:tc>
        <w:tc>
          <w:tcPr>
            <w:tcW w:type="dxa" w:w="2268"/>
            <w:shd w:val="clear" w:color="auto" w:fill="1F3A5F"/>
          </w:tcPr>
          <w:p>
            <w:r/>
            <w:r>
              <w:rPr>
                <w:b/>
                <w:i w:val="0"/>
                <w:color w:val="FFFFFF"/>
                <w:sz w:val="19"/>
              </w:rPr>
              <w:t>Format</w:t>
            </w:r>
          </w:p>
        </w:tc>
        <w:tc>
          <w:tcPr>
            <w:tcW w:type="dxa" w:w="2835"/>
            <w:shd w:val="clear" w:color="auto" w:fill="1F3A5F"/>
          </w:tcPr>
          <w:p>
            <w:r/>
            <w:r>
              <w:rPr>
                <w:b/>
                <w:i w:val="0"/>
                <w:color w:val="FFFFFF"/>
                <w:sz w:val="19"/>
              </w:rPr>
              <w:t>Timing</w:t>
            </w:r>
          </w:p>
        </w:tc>
      </w:tr>
      <w:tr>
        <w:trPr>
          <w:cantSplit/>
        </w:trPr>
        <w:tc>
          <w:tcPr>
            <w:tcW w:type="dxa" w:w="4535"/>
          </w:tcPr>
          <w:p>
            <w:r/>
            <w:r>
              <w:rPr>
                <w:b w:val="0"/>
                <w:i w:val="0"/>
                <w:sz w:val="19"/>
              </w:rPr>
              <w:t>Submittal review comments</w:t>
            </w:r>
          </w:p>
        </w:tc>
        <w:tc>
          <w:tcPr>
            <w:tcW w:type="dxa" w:w="2268"/>
          </w:tcPr>
          <w:p>
            <w:r/>
            <w:r>
              <w:rPr>
                <w:b w:val="0"/>
                <w:i w:val="0"/>
                <w:sz w:val="19"/>
              </w:rPr>
              <w:t>Excel or PDF register</w:t>
            </w:r>
          </w:p>
        </w:tc>
        <w:tc>
          <w:tcPr>
            <w:tcW w:type="dxa" w:w="2835"/>
          </w:tcPr>
          <w:p>
            <w:r/>
            <w:r>
              <w:rPr>
                <w:b w:val="0"/>
                <w:i w:val="0"/>
                <w:sz w:val="19"/>
              </w:rPr>
              <w:t>Within 5 working days of receipt</w:t>
            </w:r>
          </w:p>
        </w:tc>
      </w:tr>
      <w:tr>
        <w:trPr>
          <w:cantSplit/>
        </w:trPr>
        <w:tc>
          <w:tcPr>
            <w:tcW w:type="dxa" w:w="4535"/>
          </w:tcPr>
          <w:p>
            <w:r/>
            <w:r>
              <w:rPr>
                <w:b w:val="0"/>
                <w:i w:val="0"/>
                <w:sz w:val="19"/>
              </w:rPr>
              <w:t>Inspection and test attendance reports with recommended hold point releases</w:t>
            </w:r>
          </w:p>
        </w:tc>
        <w:tc>
          <w:tcPr>
            <w:tcW w:type="dxa" w:w="2268"/>
          </w:tcPr>
          <w:p>
            <w:r/>
            <w:r>
              <w:rPr>
                <w:b w:val="0"/>
                <w:i w:val="0"/>
                <w:sz w:val="19"/>
              </w:rPr>
              <w:t>PDF</w:t>
            </w:r>
          </w:p>
        </w:tc>
        <w:tc>
          <w:tcPr>
            <w:tcW w:type="dxa" w:w="2835"/>
          </w:tcPr>
          <w:p>
            <w:r/>
            <w:r>
              <w:rPr>
                <w:b w:val="0"/>
                <w:i w:val="0"/>
                <w:sz w:val="19"/>
              </w:rPr>
              <w:t>Within 2 working days of the attendance</w:t>
            </w:r>
          </w:p>
        </w:tc>
      </w:tr>
      <w:tr>
        <w:trPr>
          <w:cantSplit/>
        </w:trPr>
        <w:tc>
          <w:tcPr>
            <w:tcW w:type="dxa" w:w="4535"/>
          </w:tcPr>
          <w:p>
            <w:r/>
            <w:r>
              <w:rPr>
                <w:b w:val="0"/>
                <w:i w:val="0"/>
                <w:sz w:val="19"/>
              </w:rPr>
              <w:t>Input to the PC defects list and Contract 2 Completion Report</w:t>
            </w:r>
          </w:p>
        </w:tc>
        <w:tc>
          <w:tcPr>
            <w:tcW w:type="dxa" w:w="2268"/>
          </w:tcPr>
          <w:p>
            <w:r/>
            <w:r>
              <w:rPr>
                <w:b w:val="0"/>
                <w:i w:val="0"/>
                <w:sz w:val="19"/>
              </w:rPr>
              <w:t>Word or Excel</w:t>
            </w:r>
          </w:p>
        </w:tc>
        <w:tc>
          <w:tcPr>
            <w:tcW w:type="dxa" w:w="2835"/>
          </w:tcPr>
          <w:p>
            <w:r/>
            <w:r>
              <w:rPr>
                <w:b w:val="0"/>
                <w:i w:val="0"/>
                <w:sz w:val="19"/>
              </w:rPr>
              <w:t>At PC and at finalisation</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an RPEQ or under the direct supervision of an RPEQ. Council's RFQ does not name a registration, but JCE's Superintendent is not an RPEQ.</w:t>
      </w:r>
    </w:p>
    <w:p>
      <w:pPr>
        <w:pStyle w:val="ListBullet"/>
        <w:spacing w:after="40"/>
      </w:pPr>
      <w:r>
        <w:rPr>
          <w:b w:val="0"/>
          <w:i w:val="0"/>
        </w:rPr>
        <w:t>The engineer who signs submittal reviews and test reports must be an RPEQ in the electrical or mechanical area, or work under the direct supervision of a named RPEQ in your firm. Please give registration numbers.</w:t>
      </w:r>
    </w:p>
    <w:p>
      <w:pPr>
        <w:pStyle w:val="ListBullet"/>
        <w:spacing w:after="40"/>
      </w:pPr>
      <w:r>
        <w:rPr>
          <w:b w:val="0"/>
          <w:i w:val="0"/>
        </w:rPr>
        <w:t>Experience wanted: sewage pump station mechanical and electrical works, switchboards and MCCs, SCADA and telemetry, and odour control commissioning for local government or water authorities.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engineer or engineers and a backup, with RPEQ numbers and two referees each.</w:t>
      </w:r>
    </w:p>
    <w:p>
      <w:pPr>
        <w:pStyle w:val="ListBullet"/>
        <w:spacing w:after="40"/>
      </w:pPr>
      <w:r>
        <w:rPr>
          <w:b w:val="0"/>
          <w:i w:val="0"/>
        </w:rPr>
        <w:t>Company profile, office address and post code, and any work for Townsville City Council in the last 3 years.</w:t>
      </w:r>
    </w:p>
    <w:p>
      <w:pPr>
        <w:pStyle w:val="ListBullet"/>
        <w:spacing w:after="40"/>
      </w:pPr>
      <w:r>
        <w:rPr>
          <w:b w:val="0"/>
          <w:i w:val="0"/>
        </w:rPr>
        <w:t>Similar projects in the last 5 years (client, contact, scope, value, period).</w:t>
      </w:r>
    </w:p>
    <w:p>
      <w:pPr>
        <w:pStyle w:val="ListBullet"/>
        <w:spacing w:after="40"/>
      </w:pPr>
      <w:r>
        <w:rPr>
          <w:b w:val="0"/>
          <w:i w:val="0"/>
        </w:rPr>
        <w:t>Certificates of currency (public liability, professional indemnity, WorkCover Queensland or, for staff based outside Queensland, the relevant workers compensation policy).</w:t>
      </w:r>
    </w:p>
    <w:p>
      <w:pPr>
        <w:pStyle w:val="ListBullet"/>
        <w:spacing w:after="40"/>
      </w:pPr>
      <w:r>
        <w:rPr>
          <w:b w:val="0"/>
          <w:i w:val="0"/>
        </w:rPr>
        <w:t>Conflict of interest declaration (section 9) and confirmation of WHS system and SWMS.</w:t>
      </w:r>
    </w:p>
    <w:p>
      <w:pPr>
        <w:keepNext/>
        <w:spacing w:before="200" w:after="80"/>
      </w:pPr>
      <w:r>
        <w:rPr>
          <w:b/>
          <w:i w:val="0"/>
          <w:color w:val="1F3A5F"/>
          <w:sz w:val="24"/>
        </w:rPr>
        <w:t>13.  Pricing schedule</w:t>
      </w:r>
    </w:p>
    <w:p>
      <w:pPr>
        <w:keepNext/>
      </w:pPr>
      <w:r>
        <w:rPr>
          <w:b w:val="0"/>
          <w:i w:val="0"/>
        </w:rPr>
        <w:t>Prices in AUD, excluding GST. Rates must be all-inclusive (vehicle, fuel, phone, laptop and software, PPE, tools, and travel within Townsville). Council pays no separate disbursements, so price any travel from outside Townsville in item B6 or B7.</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senior electrical or controls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mechanical engineer (RPEQ)</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engineer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Submittal review (lump sum, not to exceed)</w:t>
            </w:r>
          </w:p>
        </w:tc>
        <w:tc>
          <w:tcPr>
            <w:tcW w:type="dxa" w:w="907"/>
          </w:tcPr>
          <w:p>
            <w:r/>
            <w:r>
              <w:rPr>
                <w:b w:val="0"/>
                <w:i w:val="0"/>
                <w:sz w:val="19"/>
              </w:rPr>
              <w:t>40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FAT witnessing, if required (lump sum, excluding travel)</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Installation inspections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SAT and SCADA and telemetry commissioning (lump sum, not to exceed)</w:t>
            </w:r>
          </w:p>
        </w:tc>
        <w:tc>
          <w:tcPr>
            <w:tcW w:type="dxa" w:w="907"/>
          </w:tcPr>
          <w:p>
            <w:r/>
            <w:r>
              <w:rPr>
                <w:b w:val="0"/>
                <w:i w:val="0"/>
                <w:sz w:val="19"/>
              </w:rPr>
              <w:t>30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Odour control unit performance testing and O&amp;M review (lump sum, not to exceed)</w:t>
            </w:r>
          </w:p>
        </w:tc>
        <w:tc>
          <w:tcPr>
            <w:tcW w:type="dxa" w:w="907"/>
          </w:tcPr>
          <w:p>
            <w:r/>
            <w:r>
              <w:rPr>
                <w:b w:val="0"/>
                <w:i w:val="0"/>
                <w:sz w:val="19"/>
              </w:rPr>
              <w:t>20</w:t>
            </w:r>
          </w:p>
        </w:tc>
        <w:tc>
          <w:tcPr>
            <w:tcW w:type="dxa" w:w="1587"/>
          </w:tcPr>
          <w:p>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Travel and expenses for each FAT day outside Townsville, if required</w:t>
            </w:r>
          </w:p>
        </w:tc>
        <w:tc>
          <w:tcPr>
            <w:tcW w:type="dxa" w:w="907"/>
          </w:tcPr>
          <w:p>
            <w:r/>
          </w:p>
        </w:tc>
        <w:tc>
          <w:tcPr>
            <w:tcW w:type="dxa" w:w="1587"/>
          </w:tcPr>
          <w:p>
            <w:r/>
            <w:r>
              <w:rPr>
                <w:b w:val="0"/>
                <w:i w:val="0"/>
                <w:sz w:val="19"/>
              </w:rPr>
              <w:t>$______ /day</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Travel to PS C6B from your base, if outside Townsville (per attendance)</w:t>
            </w:r>
          </w:p>
        </w:tc>
        <w:tc>
          <w:tcPr>
            <w:tcW w:type="dxa" w:w="907"/>
          </w:tcPr>
          <w:p>
            <w:r/>
          </w:p>
        </w:tc>
        <w:tc>
          <w:tcPr>
            <w:tcW w:type="dxa" w:w="1587"/>
          </w:tcPr>
          <w:p>
            <w:r/>
            <w:r>
              <w:rPr>
                <w:b w:val="0"/>
                <w:i w:val="0"/>
                <w:sz w:val="19"/>
              </w:rPr>
              <w:t>$______ /trip</w:t>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B5 (excluding GST)</w:t>
            </w:r>
          </w:p>
        </w:tc>
        <w:tc>
          <w:tcPr>
            <w:tcW w:type="dxa" w:w="907"/>
            <w:shd w:val="clear" w:color="auto" w:fill="E8EEF5"/>
          </w:tcPr>
          <w:p>
            <w:r/>
            <w:r>
              <w:rPr>
                <w:b/>
                <w:i w:val="0"/>
                <w:sz w:val="19"/>
              </w:rPr>
              <w:t>150</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the work falls between July 2027 and November 2028. State whether rates hold for that period or give the escalation basis.</w:t>
      </w:r>
    </w:p>
    <w:p>
      <w:pPr>
        <w:pStyle w:val="ListBullet"/>
        <w:spacing w:after="40"/>
      </w:pPr>
      <w:r>
        <w:rPr>
          <w:b/>
          <w:i w:val="0"/>
        </w:rPr>
        <w:t>Hours:</w:t>
      </w:r>
      <w:r>
        <w:rPr>
          <w:b w:val="0"/>
          <w:i w:val="0"/>
        </w:rPr>
        <w:t xml:space="preserve"> state any minimum call-out or minimum daily charge.</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JCE-RFQ-VP528755-ME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