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Council road network works. </w:t>
      </w:r>
      <w:r>
        <w:rPr>
          <w:b w:val="0"/>
          <w:i w:val="0"/>
        </w:rPr>
        <w:t>Jayden Callen (while at Langtree Consulting Engineers): Floodway rectification, Tablelands Regional Council (QLD): engineering for the rectification of a floodway on Council's road network. Floodways and causeways are among the transport assets in this tender. Referee: Darren Quilliam, Tablelands Regional Council, contact details available on request.</w:t>
      </w:r>
    </w:p>
    <w:p>
      <w:pPr>
        <w:pStyle w:val="ListBullet"/>
        <w:spacing w:after="60"/>
      </w:pPr>
      <w:r>
        <w:rPr>
          <w:b/>
          <w:i w:val="0"/>
        </w:rPr>
        <w:t xml:space="preserve">Council client work. </w:t>
      </w:r>
      <w:r>
        <w:rPr>
          <w:b w:val="0"/>
          <w:i w:val="0"/>
        </w:rPr>
        <w:t>Jayden Callen (while at Langtree Consulting Engineers): Leachate storage facility, Tablelands Regional Council (QLD): engineering for a landfill leachate storage facility. Referee as above.</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Defence head-contractor delivery. </w:t>
      </w:r>
      <w:r>
        <w:rPr>
          <w:b w:val="0"/>
          <w:i w:val="0"/>
        </w:rPr>
        <w:t>RAAF Base Townsville, Defence delivery project: engineering delivery for CPB Contractors (head contractor). Referee: Maverick Partner, CPB Contractors, contact details available on request.</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Autodesk ReCap Pro, DroneDeploy and QGIS (drone capability above).</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keepNext/>
              <w:spacing w:after="20"/>
            </w:pPr>
            <w:r/>
            <w:r>
              <w:rPr>
                <w:b w:val="0"/>
                <w:i w:val="0"/>
                <w:sz w:val="18"/>
              </w:rPr>
              <w:t>Drone equipment (with JCE hourly rates for flying and processing)</w:t>
            </w:r>
          </w:p>
        </w:tc>
        <w:tc>
          <w:tcPr>
            <w:tcW w:type="dxa" w:w="3061"/>
          </w:tcPr>
          <w:p>
            <w:pPr>
              <w:keepNext/>
              <w:spacing w:after="20"/>
            </w:pPr>
            <w:r/>
            <w:r>
              <w:rPr>
                <w:b w:val="0"/>
                <w:i w:val="0"/>
                <w:sz w:val="18"/>
              </w:rPr>
              <w:t>$250/field day</w:t>
            </w:r>
          </w:p>
        </w:tc>
        <w:tc>
          <w:tcPr>
            <w:tcW w:type="dxa" w:w="2608"/>
          </w:tcPr>
          <w:p>
            <w:pPr>
              <w:keepNext/>
              <w:spacing w:after="20"/>
            </w:pPr>
            <w:r/>
            <w:r>
              <w:rPr>
                <w:b w:val="0"/>
                <w:i w:val="0"/>
                <w:sz w:val="18"/>
              </w:rPr>
              <w:t>$275.00/field day</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