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32"/>
        </w:rPr>
        <w:t>JCE Infrastructure Pty Ltd</w:t>
      </w:r>
    </w:p>
    <w:p>
      <w:pPr>
        <w:spacing w:after="0"/>
      </w:pPr>
      <w:r>
        <w:rPr>
          <w:color w:val="555555"/>
          <w:sz w:val="17"/>
        </w:rPr>
        <w:t>Civil and hydraulic engineering   ·   ABN 29 699 165 663   ·   756 Quia Road, Gunnedah NSW 2380</w:t>
      </w:r>
    </w:p>
    <w:p>
      <w:pPr>
        <w:pBdr>
          <w:bottom w:val="single" w:sz="18" w:space="1" w:color="C9A227"/>
        </w:pBdr>
        <w:spacing w:after="200"/>
      </w:pPr>
      <w:r>
        <w:rPr>
          <w:color w:val="555555"/>
          <w:sz w:val="17"/>
        </w:rPr>
        <w:t>0477 207 027   ·   jayden@jceinfrastructure.com.au   ·   jceinfrastructure.com.au</w:t>
      </w:r>
    </w:p>
    <w:p>
      <w:pPr>
        <w:spacing w:after="40"/>
      </w:pPr>
      <w:r>
        <w:rPr>
          <w:b/>
          <w:color w:val="C9A227"/>
          <w:sz w:val="30"/>
        </w:rPr>
        <w:t>FEE PROPOSAL</w:t>
      </w:r>
    </w:p>
    <w:p>
      <w:r>
        <w:rPr>
          <w:b/>
          <w:sz w:val="21"/>
        </w:rPr>
        <w:t>RFT CT2027005: Gregadoo Waste Management Centre CQA Engineer for New General Waste Cell and Monocell</w:t>
      </w:r>
    </w:p>
    <w:tbl>
      <w:tblPr>
        <w:tblStyle w:val="TableGrid"/>
        <w:tblW w:type="dxa" w:w="9639"/>
        <w:tblLayout w:type="fixed"/>
        <w:tblLook w:firstColumn="1" w:firstRow="1" w:lastColumn="0" w:lastRow="0" w:noHBand="0" w:noVBand="1" w:val="04A0"/>
        <w:tblLayout w:type="fixed"/>
      </w:tblPr>
      <w:tblGrid>
        <w:gridCol w:w="2381"/>
        <w:gridCol w:w="7257"/>
      </w:tblGrid>
      <w:tr>
        <w:trPr>
          <w:cantSplit/>
        </w:trPr>
        <w:tc>
          <w:tcPr>
            <w:tcW w:type="dxa" w:w="2381"/>
            <w:shd w:val="clear" w:color="auto" w:fill="F3EBCF"/>
          </w:tcPr>
          <w:p>
            <w:r/>
            <w:r>
              <w:rPr>
                <w:b/>
                <w:sz w:val="18"/>
              </w:rPr>
              <w:t>Proposal no</w:t>
            </w:r>
          </w:p>
        </w:tc>
        <w:tc>
          <w:tcPr>
            <w:tcW w:type="dxa" w:w="7257"/>
          </w:tcPr>
          <w:p>
            <w:r/>
            <w:r>
              <w:rPr>
                <w:sz w:val="18"/>
              </w:rPr>
              <w:t>JCE-FP-VP527469 [FP number TBC - Jayden]   ·   Revision G (final for signature)   ·   Date 12/10/2026</w:t>
            </w:r>
          </w:p>
        </w:tc>
      </w:tr>
      <w:tr>
        <w:trPr>
          <w:cantSplit/>
        </w:trPr>
        <w:tc>
          <w:tcPr>
            <w:tcW w:type="dxa" w:w="2381"/>
            <w:shd w:val="clear" w:color="auto" w:fill="F3EBCF"/>
          </w:tcPr>
          <w:p>
            <w:r/>
            <w:r>
              <w:rPr>
                <w:b/>
                <w:sz w:val="18"/>
              </w:rPr>
              <w:t>Client</w:t>
            </w:r>
          </w:p>
        </w:tc>
        <w:tc>
          <w:tcPr>
            <w:tcW w:type="dxa" w:w="7257"/>
          </w:tcPr>
          <w:p>
            <w:r/>
            <w:r>
              <w:rPr>
                <w:sz w:val="18"/>
              </w:rPr>
              <w:t>Wagga Wagga City Council (the Principal), PO Box 20, Wagga Wagga NSW 2650</w:t>
            </w:r>
          </w:p>
        </w:tc>
      </w:tr>
      <w:tr>
        <w:trPr>
          <w:cantSplit/>
        </w:trPr>
        <w:tc>
          <w:tcPr>
            <w:tcW w:type="dxa" w:w="2381"/>
            <w:shd w:val="clear" w:color="auto" w:fill="F3EBCF"/>
          </w:tcPr>
          <w:p>
            <w:r/>
            <w:r>
              <w:rPr>
                <w:b/>
                <w:sz w:val="18"/>
              </w:rPr>
              <w:t>Attention</w:t>
            </w:r>
          </w:p>
        </w:tc>
        <w:tc>
          <w:tcPr>
            <w:tcW w:type="dxa" w:w="7257"/>
          </w:tcPr>
          <w:p>
            <w:r/>
            <w:r>
              <w:rPr>
                <w:sz w:val="18"/>
              </w:rPr>
              <w:t>Isabel Giltrap, Tender Coordinator, via VendorPanel (VP527469)</w:t>
            </w:r>
          </w:p>
        </w:tc>
      </w:tr>
      <w:tr>
        <w:trPr>
          <w:cantSplit/>
        </w:trPr>
        <w:tc>
          <w:tcPr>
            <w:tcW w:type="dxa" w:w="2381"/>
            <w:shd w:val="clear" w:color="auto" w:fill="F3EBCF"/>
          </w:tcPr>
          <w:p>
            <w:r/>
            <w:r>
              <w:rPr>
                <w:b/>
                <w:sz w:val="18"/>
              </w:rPr>
              <w:t>Site</w:t>
            </w:r>
          </w:p>
        </w:tc>
        <w:tc>
          <w:tcPr>
            <w:tcW w:type="dxa" w:w="7257"/>
          </w:tcPr>
          <w:p>
            <w:r/>
            <w:r>
              <w:rPr>
                <w:sz w:val="18"/>
              </w:rPr>
              <w:t>Gregadoo Waste Management Centre, 162 Ashfords Road, Gregadoo NSW 2650 (EPL 6671)</w:t>
            </w:r>
          </w:p>
        </w:tc>
      </w:tr>
      <w:tr>
        <w:trPr>
          <w:cantSplit/>
        </w:trPr>
        <w:tc>
          <w:tcPr>
            <w:tcW w:type="dxa" w:w="2381"/>
            <w:shd w:val="clear" w:color="auto" w:fill="F3EBCF"/>
          </w:tcPr>
          <w:p>
            <w:r/>
            <w:r>
              <w:rPr>
                <w:b/>
                <w:sz w:val="18"/>
              </w:rPr>
              <w:t>Tender closes</w:t>
            </w:r>
          </w:p>
        </w:tc>
        <w:tc>
          <w:tcPr>
            <w:tcW w:type="dxa" w:w="7257"/>
          </w:tcPr>
          <w:p>
            <w:r/>
            <w:r>
              <w:rPr>
                <w:sz w:val="18"/>
              </w:rPr>
              <w:t>Friday 30/10/2026, 2:00 pm AEDT</w:t>
            </w:r>
          </w:p>
        </w:tc>
      </w:tr>
      <w:tr>
        <w:trPr>
          <w:cantSplit/>
        </w:trPr>
        <w:tc>
          <w:tcPr>
            <w:tcW w:type="dxa" w:w="2381"/>
            <w:shd w:val="clear" w:color="auto" w:fill="F3EBCF"/>
          </w:tcPr>
          <w:p>
            <w:r/>
            <w:r>
              <w:rPr>
                <w:b/>
                <w:sz w:val="18"/>
              </w:rPr>
              <w:t>Prepared by</w:t>
            </w:r>
          </w:p>
        </w:tc>
        <w:tc>
          <w:tcPr>
            <w:tcW w:type="dxa" w:w="7257"/>
          </w:tcPr>
          <w:p>
            <w:r/>
            <w:r>
              <w:rPr>
                <w:sz w:val="18"/>
              </w:rPr>
              <w:t>Jayden Callen, Director, BEng (Civil)(Hons), MIEAust</w:t>
            </w:r>
          </w:p>
        </w:tc>
      </w:tr>
      <w:tr>
        <w:trPr>
          <w:cantSplit/>
        </w:trPr>
        <w:tc>
          <w:tcPr>
            <w:tcW w:type="dxa" w:w="2381"/>
            <w:shd w:val="clear" w:color="auto" w:fill="F3EBCF"/>
          </w:tcPr>
          <w:p>
            <w:r/>
            <w:r>
              <w:rPr>
                <w:b/>
                <w:sz w:val="18"/>
              </w:rPr>
              <w:t>Offer</w:t>
            </w:r>
          </w:p>
        </w:tc>
        <w:tc>
          <w:tcPr>
            <w:tcW w:type="dxa" w:w="7257"/>
          </w:tcPr>
          <w:p>
            <w:r/>
            <w:r>
              <w:rPr>
                <w:sz w:val="18"/>
              </w:rPr>
              <w:t>$696,814.80 excl. GST   ·   $766,496.28 incl. GST (Part B2 is the priced offer)</w:t>
            </w:r>
          </w:p>
        </w:tc>
      </w:tr>
    </w:tbl>
    <w:p>
      <w:pPr>
        <w:spacing w:after="40"/>
      </w:pPr>
    </w:p>
    <w:p>
      <w:r>
        <w:rPr>
          <w:i w:val="0"/>
        </w:rPr>
        <w:t>Dear Ms Giltrap,</w:t>
      </w:r>
    </w:p>
    <w:p>
      <w:r>
        <w:rPr>
          <w:i w:val="0"/>
        </w:rPr>
        <w:t>JCE Infrastructure Pty Ltd (JCE) offers to act as CQA Engineer for General Waste Cell 3.1 (Separable Portion 1) and Monocell M1.1 (Separable Portion 2) under RFT CT2027005. This proposal is read with our Part B1 Tender Return Forms and the Part B2 Returnable Schedule, which is the priced offer.</w:t>
      </w:r>
    </w:p>
    <w:p>
      <w:r>
        <w:rPr>
          <w:i w:val="0"/>
        </w:rPr>
        <w:t>Our team is built around a Wagga Wagga based geotechnical partner, [Riverina CQA partner, TBC - Jayden from RFQ], which supplies experienced CQA technicians on site during all working hours of the works (Part D 1.13), a NATA-accredited soils laboratory in Wagga Wagga and a senior engineer with landfill liner and cap CQA experience. JCE is the contracting party and the CQA Engineer of record. Jayden Callen, Director, leads the commission personally: he reviews every daily record, hold point package and test result, attends site at the critical hold points, and signs the as-constructed CQA report for each cell, co-signed by the partner's senior landfill CQA engineer.</w:t>
      </w:r>
    </w:p>
    <w:p>
      <w:r>
        <w:rPr>
          <w:i w:val="0"/>
        </w:rPr>
        <w:t>We state openly that JCE has not previously acted as CQA Engineer on a landfill cell liner. Jayden's landfill experience, gained while at Langtree Consulting Engineers, is engineering for a landfill leachate storage facility for Tablelands Regional Council (QLD), and the landfill CQA record in this team is the partner's, set out in Section 8 and Form 3. Jayden brings council client experience, site quality assurance and construction-phase delivery experience on Defence and civil projects, including engineering delivery for CPB Contractors (head contractor) at RAAF Base Townsville, the management of specialist sub-consultants to one program, and a single point of accountability to Council for hold point releases against the 30/09/2027 deadline for Cell 3.1.</w:t>
      </w:r>
    </w:p>
    <w:p>
      <w:r>
        <w:rPr>
          <w:i w:val="0"/>
        </w:rPr>
        <w:t>The price is $696,815 excluding GST ($766,496 including GST). It comprises JCE's lump sum of $218,865 and provisional sums of $477,950 for the partner's resident technicians, the NATA testing, the liner integrity surveys and the check survey. Travel, accommodation and all other costs are included, as Annexure Item 9 requires.</w:t>
      </w:r>
    </w:p>
    <w:p>
      <w:pPr>
        <w:pStyle w:val="Heading1"/>
        <w:pBdr>
          <w:bottom w:val="single" w:sz="6" w:space="1" w:color="C9A227"/>
        </w:pBdr>
      </w:pPr>
      <w:r>
        <w:t>1.0   Project understanding</w:t>
      </w:r>
    </w:p>
    <w:p>
      <w:r>
        <w:rPr>
          <w:i w:val="0"/>
        </w:rPr>
        <w:t>Council is building two engineered cells at the Gregadoo Waste Management Centre under a separate construction contract (CT2027004): Cell 3.1, a general (putrescible and non-putrescible) waste cell of about 4 ha, and Monocell M1.1, a cell of about 1.1 ha for special wastes including bonded and friable asbestos, asbestos-contaminated soils and immobilised lead slag. Portion 2 is triggered at the Principal's direction after planning permission. The CQA Engineer verifies that the works are built to the Tonkin Consulting IFC design, the Technical Specifications (201879S0011 and 201879S0032) and the NSW EPA Environmental Guidelines: Solid Waste Landfills (2016), and compiles the as-constructed CQA report that supports EPA acceptance of each cell.</w:t>
      </w:r>
    </w:p>
    <w:p>
      <w:r>
        <w:rPr>
          <w:i w:val="0"/>
        </w:rPr>
        <w:t>Each cell has a composite liner of engineered fill layer, geosynthetic clay liner (GCL) and HDPE geomembrane, protected by a cushion geotextile, with a groundwater relief system below and a leachate collection system, gravel drainage layer, separation geotextile, drainage geocomposite and woven geotextile above. The CQA Plans (Attachment A, 201879S002 Rev 1, and Attachment E, 201879S004 Rev 2) set the hold points, test frequencies and acceptance criteria the CQA Engineer controls, and require full-time CQA inspection of the geosynthetic lining works.</w:t>
      </w:r>
    </w:p>
    <w:p>
      <w:r>
        <w:rPr>
          <w:b/>
        </w:rPr>
        <w:t xml:space="preserve">Program. </w:t>
      </w:r>
      <w:r>
        <w:rPr>
          <w:i w:val="0"/>
        </w:rPr>
        <w:t>Program is the main constraint. Works within Cell 3.1 must be completed to the satisfaction of the CQA Engineer by 30/09/2027 so the cell can operate from November 2027 (Part D 1.17.5). Hold points must be released quickly, test results turned around within days and the Cell 3.1 report issued promptly.</w:t>
      </w:r>
    </w:p>
    <w:p>
      <w:r>
        <w:rPr>
          <w:b/>
        </w:rPr>
        <w:t xml:space="preserve">Testing. </w:t>
      </w:r>
      <w:r>
        <w:rPr>
          <w:i w:val="0"/>
        </w:rPr>
        <w:t>Under Council's answers of 06/10/2026 and 09/10/2026, the CQA Engineer arranges and prices the independent (IQA) geotechnical and geosynthetic testing at a NATA-accredited laboratory, including sample transport. The Head Contractor supplies samples free of charge, provides the GTA (subgrade) testing and results, and engages the licensed surveyor.</w:t>
      </w:r>
    </w:p>
    <w:p>
      <w:r>
        <w:rPr>
          <w:b/>
        </w:rPr>
        <w:t xml:space="preserve">Site presence. </w:t>
      </w:r>
      <w:r>
        <w:rPr>
          <w:i w:val="0"/>
        </w:rPr>
        <w:t>Part D 1.13 asks for CQA representatives on site during all working hours of the works. The CQA Plans call for full-time CQA inspection during the geosynthetic lining works. We have priced both, as separate provisional sums PS1 and PS2, so Council can see the cost of each and adjust once RFI 1 is answered.</w:t>
      </w:r>
    </w:p>
    <w:p>
      <w:pPr>
        <w:pStyle w:val="Heading1"/>
        <w:pBdr>
          <w:bottom w:val="single" w:sz="6" w:space="1" w:color="C9A227"/>
        </w:pBdr>
      </w:pPr>
      <w:r>
        <w:t>2.0   Delivery model and responsibilities</w:t>
      </w:r>
    </w:p>
    <w:p>
      <w:r>
        <w:rPr>
          <w:i w:val="0"/>
        </w:rPr>
        <w:t>JCE holds the contract with Council and is accountable for all CQA services. The partner and specialists are sub-consultants to JCE, named in Form 6 for Council's consent under Part A 6.4.</w:t>
      </w:r>
    </w:p>
    <w:tbl>
      <w:tblPr>
        <w:tblStyle w:val="TableGrid"/>
        <w:tblW w:type="dxa" w:w="9639"/>
        <w:jc w:val="center"/>
        <w:tblLayout w:type="fixed"/>
        <w:tblLook w:firstColumn="1" w:firstRow="1" w:lastColumn="0" w:lastRow="0" w:noHBand="0" w:noVBand="1" w:val="04A0"/>
        <w:tblLayout w:type="fixed"/>
      </w:tblPr>
      <w:tblGrid>
        <w:gridCol w:w="2041"/>
        <w:gridCol w:w="2494"/>
        <w:gridCol w:w="5103"/>
      </w:tblGrid>
      <w:tr>
        <w:trPr>
          <w:tblHeader/>
          <w:cantSplit/>
        </w:trPr>
        <w:tc>
          <w:tcPr>
            <w:tcW w:type="dxa" w:w="2041"/>
            <w:shd w:val="clear" w:color="auto" w:fill="C9A227"/>
          </w:tcPr>
          <w:p>
            <w:pPr>
              <w:keepNext/>
            </w:pPr>
            <w:r/>
            <w:r>
              <w:rPr>
                <w:b/>
                <w:color w:val="000000"/>
                <w:sz w:val="17"/>
              </w:rPr>
              <w:t>Role</w:t>
            </w:r>
          </w:p>
        </w:tc>
        <w:tc>
          <w:tcPr>
            <w:tcW w:type="dxa" w:w="2494"/>
            <w:shd w:val="clear" w:color="auto" w:fill="C9A227"/>
          </w:tcPr>
          <w:p>
            <w:pPr>
              <w:keepNext/>
            </w:pPr>
            <w:r/>
            <w:r>
              <w:rPr>
                <w:b/>
                <w:color w:val="000000"/>
                <w:sz w:val="17"/>
              </w:rPr>
              <w:t>Who</w:t>
            </w:r>
          </w:p>
        </w:tc>
        <w:tc>
          <w:tcPr>
            <w:tcW w:type="dxa" w:w="5102"/>
            <w:shd w:val="clear" w:color="auto" w:fill="C9A227"/>
          </w:tcPr>
          <w:p>
            <w:pPr>
              <w:keepNext/>
            </w:pPr>
            <w:r/>
            <w:r>
              <w:rPr>
                <w:b/>
                <w:color w:val="000000"/>
                <w:sz w:val="17"/>
              </w:rPr>
              <w:t>Responsibility</w:t>
            </w:r>
          </w:p>
        </w:tc>
      </w:tr>
      <w:tr>
        <w:trPr>
          <w:cantSplit/>
        </w:trPr>
        <w:tc>
          <w:tcPr>
            <w:tcW w:type="dxa" w:w="2041"/>
          </w:tcPr>
          <w:p>
            <w:pPr>
              <w:keepNext/>
              <w:spacing w:after="20"/>
            </w:pPr>
            <w:r/>
            <w:r>
              <w:rPr>
                <w:sz w:val="17"/>
              </w:rPr>
              <w:t>CQA Engineer of record</w:t>
            </w:r>
          </w:p>
        </w:tc>
        <w:tc>
          <w:tcPr>
            <w:tcW w:type="dxa" w:w="2494"/>
          </w:tcPr>
          <w:p>
            <w:pPr>
              <w:keepNext/>
              <w:spacing w:after="20"/>
            </w:pPr>
            <w:r/>
            <w:r>
              <w:rPr>
                <w:sz w:val="17"/>
              </w:rPr>
              <w:t>JCE: Jayden Callen, Director</w:t>
            </w:r>
          </w:p>
        </w:tc>
        <w:tc>
          <w:tcPr>
            <w:tcW w:type="dxa" w:w="5102"/>
          </w:tcPr>
          <w:p>
            <w:pPr>
              <w:keepNext/>
              <w:spacing w:after="20"/>
            </w:pPr>
            <w:r/>
            <w:r>
              <w:rPr>
                <w:sz w:val="17"/>
              </w:rPr>
              <w:t>Single point of contact for Council and the Superintendent. CQA Implementation Plan, review of submittals and MQA, review of every daily log and test result, written hold point releases, non-conformance register, monthly reports, periodic site attendance, certification of the as-constructed CQA reports.</w:t>
            </w:r>
          </w:p>
        </w:tc>
      </w:tr>
      <w:tr>
        <w:trPr>
          <w:cantSplit/>
        </w:trPr>
        <w:tc>
          <w:tcPr>
            <w:tcW w:type="dxa" w:w="2041"/>
          </w:tcPr>
          <w:p>
            <w:pPr>
              <w:keepNext/>
              <w:spacing w:after="20"/>
            </w:pPr>
            <w:r/>
            <w:r>
              <w:rPr>
                <w:sz w:val="17"/>
              </w:rPr>
              <w:t>Senior landfill CQA engineer</w:t>
            </w:r>
          </w:p>
        </w:tc>
        <w:tc>
          <w:tcPr>
            <w:tcW w:type="dxa" w:w="2494"/>
          </w:tcPr>
          <w:p>
            <w:pPr>
              <w:keepNext/>
              <w:spacing w:after="20"/>
            </w:pPr>
            <w:r/>
            <w:r>
              <w:rPr>
                <w:sz w:val="17"/>
              </w:rPr>
              <w:t>[Riverina CQA partner, TBC - Jayden from RFQ]: [name, qualifications TBC]</w:t>
            </w:r>
          </w:p>
        </w:tc>
        <w:tc>
          <w:tcPr>
            <w:tcW w:type="dxa" w:w="5102"/>
          </w:tcPr>
          <w:p>
            <w:pPr>
              <w:keepNext/>
              <w:spacing w:after="20"/>
            </w:pPr>
            <w:r/>
            <w:r>
              <w:rPr>
                <w:sz w:val="17"/>
              </w:rPr>
              <w:t>Technical review of the CQA Implementation Plan and records, site attendance at liner start-up, advice on landfill-specific issues, co-signing of the CQA reports.</w:t>
            </w:r>
          </w:p>
        </w:tc>
      </w:tr>
      <w:tr>
        <w:trPr>
          <w:cantSplit/>
        </w:trPr>
        <w:tc>
          <w:tcPr>
            <w:tcW w:type="dxa" w:w="2041"/>
          </w:tcPr>
          <w:p>
            <w:pPr>
              <w:keepNext/>
              <w:spacing w:after="20"/>
            </w:pPr>
            <w:r/>
            <w:r>
              <w:rPr>
                <w:sz w:val="17"/>
              </w:rPr>
              <w:t>Resident CQA technicians</w:t>
            </w:r>
          </w:p>
        </w:tc>
        <w:tc>
          <w:tcPr>
            <w:tcW w:type="dxa" w:w="2494"/>
          </w:tcPr>
          <w:p>
            <w:pPr>
              <w:keepNext/>
              <w:spacing w:after="20"/>
            </w:pPr>
            <w:r/>
            <w:r>
              <w:rPr>
                <w:sz w:val="17"/>
              </w:rPr>
              <w:t>[Riverina CQA partner, TBC - Jayden from RFQ]: [names TBC]</w:t>
            </w:r>
          </w:p>
        </w:tc>
        <w:tc>
          <w:tcPr>
            <w:tcW w:type="dxa" w:w="5102"/>
          </w:tcPr>
          <w:p>
            <w:pPr>
              <w:keepNext/>
              <w:spacing w:after="20"/>
            </w:pPr>
            <w:r/>
            <w:r>
              <w:rPr>
                <w:sz w:val="17"/>
              </w:rPr>
              <w:t>On site during all working hours of the works. Inspection against the CQA Plan checklists, daily logs and photographs, IQA sampling, witnessing of seam testing and repairs, hold point inspection packages for JCE.</w:t>
            </w:r>
          </w:p>
        </w:tc>
      </w:tr>
      <w:tr>
        <w:trPr>
          <w:cantSplit/>
        </w:trPr>
        <w:tc>
          <w:tcPr>
            <w:tcW w:type="dxa" w:w="2041"/>
          </w:tcPr>
          <w:p>
            <w:pPr>
              <w:keepNext/>
              <w:spacing w:after="20"/>
            </w:pPr>
            <w:r/>
            <w:r>
              <w:rPr>
                <w:sz w:val="17"/>
              </w:rPr>
              <w:t>NATA soils and gravel testing</w:t>
            </w:r>
          </w:p>
        </w:tc>
        <w:tc>
          <w:tcPr>
            <w:tcW w:type="dxa" w:w="2494"/>
          </w:tcPr>
          <w:p>
            <w:pPr>
              <w:keepNext/>
              <w:spacing w:after="20"/>
            </w:pPr>
            <w:r/>
            <w:r>
              <w:rPr>
                <w:sz w:val="17"/>
              </w:rPr>
              <w:t>[Riverina CQA partner, TBC - Jayden from RFQ] Wagga Wagga laboratory [TBC]</w:t>
            </w:r>
          </w:p>
        </w:tc>
        <w:tc>
          <w:tcPr>
            <w:tcW w:type="dxa" w:w="5102"/>
          </w:tcPr>
          <w:p>
            <w:pPr>
              <w:keepNext/>
              <w:spacing w:after="20"/>
            </w:pPr>
            <w:r/>
            <w:r>
              <w:rPr>
                <w:sz w:val="17"/>
              </w:rPr>
              <w:t>IQA testing of gravels and soils, sample collection and transport.</w:t>
            </w:r>
          </w:p>
        </w:tc>
      </w:tr>
      <w:tr>
        <w:trPr>
          <w:cantSplit/>
        </w:trPr>
        <w:tc>
          <w:tcPr>
            <w:tcW w:type="dxa" w:w="2041"/>
          </w:tcPr>
          <w:p>
            <w:pPr>
              <w:keepNext/>
              <w:spacing w:after="20"/>
            </w:pPr>
            <w:r/>
            <w:r>
              <w:rPr>
                <w:sz w:val="17"/>
              </w:rPr>
              <w:t>NATA geosynthetics testing</w:t>
            </w:r>
          </w:p>
        </w:tc>
        <w:tc>
          <w:tcPr>
            <w:tcW w:type="dxa" w:w="2494"/>
          </w:tcPr>
          <w:p>
            <w:pPr>
              <w:keepNext/>
              <w:spacing w:after="20"/>
            </w:pPr>
            <w:r/>
            <w:r>
              <w:rPr>
                <w:sz w:val="17"/>
              </w:rPr>
              <w:t>[Geosynthetics laboratory TBC from RFQ]</w:t>
            </w:r>
          </w:p>
        </w:tc>
        <w:tc>
          <w:tcPr>
            <w:tcW w:type="dxa" w:w="5102"/>
          </w:tcPr>
          <w:p>
            <w:pPr>
              <w:keepNext/>
              <w:spacing w:after="20"/>
            </w:pPr>
            <w:r/>
            <w:r>
              <w:rPr>
                <w:sz w:val="17"/>
              </w:rPr>
              <w:t>IQA conformance testing of GCL, HDPE, geotextiles and geocomposite.</w:t>
            </w:r>
          </w:p>
        </w:tc>
      </w:tr>
      <w:tr>
        <w:trPr>
          <w:cantSplit/>
        </w:trPr>
        <w:tc>
          <w:tcPr>
            <w:tcW w:type="dxa" w:w="2041"/>
          </w:tcPr>
          <w:p>
            <w:pPr>
              <w:keepNext/>
              <w:spacing w:after="20"/>
            </w:pPr>
            <w:r/>
            <w:r>
              <w:rPr>
                <w:sz w:val="17"/>
              </w:rPr>
              <w:t>Liner integrity survey (GMTA)</w:t>
            </w:r>
          </w:p>
        </w:tc>
        <w:tc>
          <w:tcPr>
            <w:tcW w:type="dxa" w:w="2494"/>
          </w:tcPr>
          <w:p>
            <w:pPr>
              <w:keepNext/>
              <w:spacing w:after="20"/>
            </w:pPr>
            <w:r/>
            <w:r>
              <w:rPr>
                <w:sz w:val="17"/>
              </w:rPr>
              <w:t>[Leak location specialist TBC from RFQ, subject to RFI 2]</w:t>
            </w:r>
          </w:p>
        </w:tc>
        <w:tc>
          <w:tcPr>
            <w:tcW w:type="dxa" w:w="5102"/>
          </w:tcPr>
          <w:p>
            <w:pPr>
              <w:keepNext/>
              <w:spacing w:after="20"/>
            </w:pPr>
            <w:r/>
            <w:r>
              <w:rPr>
                <w:sz w:val="17"/>
              </w:rPr>
              <w:t>Electrical leak location surveys on the exposed liner and after the gravel drainage layer (ASTM D6747).</w:t>
            </w:r>
          </w:p>
        </w:tc>
      </w:tr>
      <w:tr>
        <w:trPr>
          <w:cantSplit/>
        </w:trPr>
        <w:tc>
          <w:tcPr>
            <w:tcW w:type="dxa" w:w="2041"/>
          </w:tcPr>
          <w:p>
            <w:pPr>
              <w:keepNext/>
              <w:spacing w:after="20"/>
            </w:pPr>
            <w:r/>
            <w:r>
              <w:rPr>
                <w:sz w:val="17"/>
              </w:rPr>
              <w:t>Check survey</w:t>
            </w:r>
          </w:p>
        </w:tc>
        <w:tc>
          <w:tcPr>
            <w:tcW w:type="dxa" w:w="2494"/>
          </w:tcPr>
          <w:p>
            <w:pPr>
              <w:keepNext/>
              <w:spacing w:after="20"/>
            </w:pPr>
            <w:r/>
            <w:r>
              <w:rPr>
                <w:sz w:val="17"/>
              </w:rPr>
              <w:t>[Registered surveyor, Wagga Wagga, TBC from RFQ]</w:t>
            </w:r>
          </w:p>
        </w:tc>
        <w:tc>
          <w:tcPr>
            <w:tcW w:type="dxa" w:w="5102"/>
          </w:tcPr>
          <w:p>
            <w:pPr>
              <w:keepNext/>
              <w:spacing w:after="20"/>
            </w:pPr>
            <w:r/>
            <w:r>
              <w:rPr>
                <w:sz w:val="17"/>
              </w:rPr>
              <w:t>Independent spot checks of Planes 1 to 3 against the Contractor's survey.</w:t>
            </w:r>
          </w:p>
        </w:tc>
      </w:tr>
      <w:tr>
        <w:trPr>
          <w:cantSplit/>
        </w:trPr>
        <w:tc>
          <w:tcPr>
            <w:tcW w:type="dxa" w:w="2041"/>
          </w:tcPr>
          <w:p>
            <w:pPr>
              <w:spacing w:after="20"/>
            </w:pPr>
            <w:r/>
            <w:r>
              <w:rPr>
                <w:sz w:val="17"/>
              </w:rPr>
              <w:t>By others</w:t>
            </w:r>
          </w:p>
        </w:tc>
        <w:tc>
          <w:tcPr>
            <w:tcW w:type="dxa" w:w="2494"/>
          </w:tcPr>
          <w:p>
            <w:pPr>
              <w:spacing w:after="20"/>
            </w:pPr>
            <w:r/>
            <w:r>
              <w:rPr>
                <w:sz w:val="17"/>
              </w:rPr>
              <w:t>Head Contractor; design consultant</w:t>
            </w:r>
          </w:p>
        </w:tc>
        <w:tc>
          <w:tcPr>
            <w:tcW w:type="dxa" w:w="5102"/>
          </w:tcPr>
          <w:p>
            <w:pPr>
              <w:spacing w:after="20"/>
            </w:pPr>
            <w:r/>
            <w:r>
              <w:rPr>
                <w:sz w:val="17"/>
              </w:rPr>
              <w:t>GTA subgrade testing and results, samples, licensed survey, ITPs and MQA (Head Contractor). Design clarifications (design consultant via the Superintendent).</w:t>
            </w:r>
          </w:p>
        </w:tc>
      </w:tr>
    </w:tbl>
    <w:p>
      <w:pPr>
        <w:spacing w:after="40"/>
      </w:pPr>
    </w:p>
    <w:p>
      <w:pPr>
        <w:keepNext/>
      </w:pPr>
      <w:r>
        <w:rPr>
          <w:i w:val="0"/>
        </w:rPr>
        <w:t>How JCE runs the team:</w:t>
      </w:r>
    </w:p>
    <w:p>
      <w:pPr>
        <w:pStyle w:val="ListBullet"/>
      </w:pPr>
      <w:r>
        <w:t>One CQA program aligned to the Contractor's approved program, updated fortnightly and shared with the Superintendent.</w:t>
      </w:r>
    </w:p>
    <w:p>
      <w:pPr>
        <w:pStyle w:val="ListBullet"/>
      </w:pPr>
      <w:r>
        <w:t>Technicians issue a daily log, photographs and test records to JCE by 6:00 pm each site day. JCE reviews them by noon the next business day and raises any issue with the Superintendent the same day (Part D 1.5).</w:t>
      </w:r>
    </w:p>
    <w:p>
      <w:pPr>
        <w:pStyle w:val="ListBullet"/>
      </w:pPr>
      <w:r>
        <w:t>Hold points are released in writing by JCE on the technician's inspection package and photographs. The GCL and HDPE start-up, the first subgrade and engineered fill releases, each liner integrity survey and the final inspection of each cell are attended by Jayden or the partner's senior landfill CQA engineer.</w:t>
      </w:r>
    </w:p>
    <w:p>
      <w:pPr>
        <w:pStyle w:val="ListBullet"/>
      </w:pPr>
      <w:r>
        <w:t>One register for hold points, non-conformances and test results, issued with each monthly report.</w:t>
      </w:r>
    </w:p>
    <w:p>
      <w:pPr>
        <w:pStyle w:val="Heading1"/>
        <w:pBdr>
          <w:bottom w:val="single" w:sz="6" w:space="1" w:color="C9A227"/>
        </w:pBdr>
      </w:pPr>
      <w:r>
        <w:t>3.0   Scope of services and methodology</w:t>
      </w:r>
    </w:p>
    <w:p>
      <w:pPr>
        <w:pStyle w:val="Heading2"/>
      </w:pPr>
      <w:r>
        <w:t>Mobilisation and planning (B2 items 1.1 and 5.1)</w:t>
      </w:r>
    </w:p>
    <w:p>
      <w:pPr>
        <w:pStyle w:val="ListBullet"/>
      </w:pPr>
      <w:r>
        <w:t>Project Management Plans for quality, safety and environment within two weeks of award (Part D 1.4), with site-specific SWMS for work near plant, excavations and batters, and for M1.1 the asbestos and lead slag areas.</w:t>
      </w:r>
    </w:p>
    <w:p>
      <w:pPr>
        <w:pStyle w:val="ListBullet"/>
      </w:pPr>
      <w:r>
        <w:t>A CQA Implementation Plan and schedule of hold points, witness points and inspections from the two CQA Plans, with notice periods, who attends and turnaround times (Part A clause 3).</w:t>
      </w:r>
    </w:p>
    <w:p>
      <w:pPr>
        <w:pStyle w:val="ListBullet"/>
      </w:pPr>
      <w:r>
        <w:t>Council's online WHS induction and the Contractor's site inductions for JCE and partner staff; attendance at the pre-start meeting and fortnightly site meetings (in person when on site, otherwise online).</w:t>
      </w:r>
    </w:p>
    <w:p>
      <w:pPr>
        <w:pStyle w:val="ListBullet"/>
      </w:pPr>
      <w:r>
        <w:t>Review of the Contractor's ITPs, program and material submittals (MQA certificates, roll and resin data, installer qualifications and welding procedures) before materials arrive.</w:t>
      </w:r>
    </w:p>
    <w:p>
      <w:pPr>
        <w:pStyle w:val="ListBullet"/>
      </w:pPr>
      <w:r>
        <w:t>Monthly progress reports and claims with the hold point, non-conformance and test registers.</w:t>
      </w:r>
    </w:p>
    <w:p>
      <w:pPr>
        <w:pStyle w:val="ListBullet"/>
      </w:pPr>
      <w:r>
        <w:t>Aerial records: at each JCE site visit, JCE will deploy a DJI Mavic 3 Enterprise with RTK to capture an orthophoto, a 3D surface of the exposed layer and high-resolution stills of progress and any defects, processed in Autodesk ReCap Pro and compared against the design surfaces in Civil 3D. The imagery supports the daily records, the monthly reports and the as-constructed CQA reports; it supplements and does not replace the Contractor's licensed survey or the check survey. Flights are coordinated with the Superintendent, the Contractor and Council's landfill operations, and kept clear of plant, staff and the public.</w:t>
      </w:r>
    </w:p>
    <w:p>
      <w:pPr>
        <w:pStyle w:val="Heading2"/>
      </w:pPr>
      <w:r>
        <w:t>Construction phase CQA by work element (B2 items 2.1 to 2.14 and 6.1 to 6.14)</w:t>
      </w:r>
    </w:p>
    <w:p>
      <w:pPr>
        <w:pStyle w:val="ListBullet"/>
      </w:pPr>
      <w:r>
        <w:rPr>
          <w:b/>
        </w:rPr>
        <w:t xml:space="preserve">Earthworks and subgrade. </w:t>
      </w:r>
      <w:r>
        <w:t>Technician witnesses proof rolling; JCE reviews GTA results and the Plane 1 survey and releases the subgrade before engineered fill.</w:t>
      </w:r>
    </w:p>
    <w:p>
      <w:pPr>
        <w:pStyle w:val="ListBullet"/>
      </w:pPr>
      <w:r>
        <w:rPr>
          <w:b/>
        </w:rPr>
        <w:t xml:space="preserve">Groundwater relief system. </w:t>
      </w:r>
      <w:r>
        <w:t>Approval of gravel and geotextile, inspection of pipe materials, perforations, trenches, pipe placement and jointing (hold points H-GR2 to H-GR8).</w:t>
      </w:r>
    </w:p>
    <w:p>
      <w:pPr>
        <w:pStyle w:val="ListBullet"/>
      </w:pPr>
      <w:r>
        <w:rPr>
          <w:b/>
        </w:rPr>
        <w:t xml:space="preserve">Engineered fill layer. </w:t>
      </w:r>
      <w:r>
        <w:t>Oversight of the GITA's Level 1 inspection and testing, review of compaction, moisture and permeability results and the Plane 2 survey and isopachytes, release before lining.</w:t>
      </w:r>
    </w:p>
    <w:p>
      <w:pPr>
        <w:pStyle w:val="ListBullet"/>
      </w:pPr>
      <w:r>
        <w:rPr>
          <w:b/>
        </w:rPr>
        <w:t xml:space="preserve">Anchor trenches. </w:t>
      </w:r>
      <w:r>
        <w:t>Inspection of location, depth and width, review of backfill compaction and survey before covering.</w:t>
      </w:r>
    </w:p>
    <w:p>
      <w:pPr>
        <w:pStyle w:val="ListBullet"/>
      </w:pPr>
      <w:r>
        <w:rPr>
          <w:b/>
        </w:rPr>
        <w:t xml:space="preserve">GCL and HDPE geomembrane. </w:t>
      </w:r>
      <w:r>
        <w:t>Full-time CQA inspection throughout deployment. Subgrade acceptance, panel layout and overlaps, trial welds, non-destructive testing of every seam, destructive sample results, repairs, panel and seam records. IQA samples cut and sent to the NATA laboratory at the CQA Plan frequencies.</w:t>
      </w:r>
    </w:p>
    <w:p>
      <w:pPr>
        <w:pStyle w:val="ListBullet"/>
      </w:pPr>
      <w:r>
        <w:rPr>
          <w:b/>
        </w:rPr>
        <w:t xml:space="preserve">Liner integrity survey. </w:t>
      </w:r>
      <w:r>
        <w:t>Coordination and witnessing of the leak location survey on the exposed liner and after the gravel drainage layer, with leaks repaired and retested before release.</w:t>
      </w:r>
    </w:p>
    <w:p>
      <w:pPr>
        <w:pStyle w:val="ListBullet"/>
      </w:pPr>
      <w:r>
        <w:rPr>
          <w:b/>
        </w:rPr>
        <w:t xml:space="preserve">Geotextiles and geocomposite. </w:t>
      </w:r>
      <w:r>
        <w:t>MQA review, IQA sampling, deployment, overlaps, seaming and repairs.</w:t>
      </w:r>
    </w:p>
    <w:p>
      <w:pPr>
        <w:pStyle w:val="ListBullet"/>
      </w:pPr>
      <w:r>
        <w:rPr>
          <w:b/>
        </w:rPr>
        <w:t xml:space="preserve">Leachate collection and transfer systems. </w:t>
      </w:r>
      <w:r>
        <w:t>Pipe materials, jointing and welding, perforation orientation, bedding and pressure test records; gravel drainage layer compliance testing, placement method that protects the liner, and Plane 3 survey.</w:t>
      </w:r>
    </w:p>
    <w:p>
      <w:pPr>
        <w:pStyle w:val="ListBullet"/>
      </w:pPr>
      <w:r>
        <w:rPr>
          <w:b/>
        </w:rPr>
        <w:t xml:space="preserve">Fencing and supporting infrastructure. </w:t>
      </w:r>
      <w:r>
        <w:t>Inspection against the drawings and specification.</w:t>
      </w:r>
    </w:p>
    <w:p>
      <w:pPr>
        <w:pStyle w:val="Heading1"/>
        <w:pBdr>
          <w:bottom w:val="single" w:sz="6" w:space="1" w:color="C9A227"/>
        </w:pBdr>
      </w:pPr>
      <w:r>
        <w:t>4.0   Hold points, non-conformances and timely advice</w:t>
      </w:r>
    </w:p>
    <w:p>
      <w:r>
        <w:rPr>
          <w:i w:val="0"/>
        </w:rPr>
        <w:t>Hold points are inspected within the CQA Plan notice periods (nominally 24 hours) and released, or the reasons for not releasing them given, in writing on the same day. Where an item may lead to a non-compliance, JCE tells the Superintendent immediately so the design consultant can advise (Part D 1.5). The CQA Engineer does not direct the Contractor or redesign the works. Jayden is available by phone during all working hours and can attend site within 24 hours when an issue needs the CQA Engineer of record in person.</w:t>
      </w:r>
    </w:p>
    <w:p>
      <w:pPr>
        <w:pStyle w:val="Heading1"/>
        <w:pBdr>
          <w:bottom w:val="single" w:sz="6" w:space="1" w:color="C9A227"/>
        </w:pBdr>
      </w:pPr>
      <w:r>
        <w:t>5.0   Reporting and certification</w:t>
      </w:r>
    </w:p>
    <w:p>
      <w:r>
        <w:rPr>
          <w:i w:val="0"/>
        </w:rPr>
        <w:t>A separate as-constructed CQA report for each cell collates the daily logs, photographs, MQA and IQA test data, GTA and GITA reports, seam and repair records, leak location survey reports, survey drawings and isopachytes, non-conformance close-outs and a statement of compliance with the Technical Specification. The report is prepared by JCE, reviewed by the partner's senior landfill CQA engineer and signed by both. The Cell 3.1 report is issued within 10 business days of the final hold point so Council can lodge it with the EPA ahead of operation in November 2027.</w:t>
      </w:r>
    </w:p>
    <w:p>
      <w:pPr>
        <w:pStyle w:val="Heading1"/>
        <w:pBdr>
          <w:bottom w:val="single" w:sz="6" w:space="1" w:color="C9A227"/>
        </w:pBdr>
      </w:pPr>
      <w:r>
        <w:t>6.0   Deliverables</w:t>
      </w:r>
    </w:p>
    <w:tbl>
      <w:tblPr>
        <w:tblStyle w:val="TableGrid"/>
        <w:tblW w:type="dxa" w:w="9639"/>
        <w:jc w:val="center"/>
        <w:tblLayout w:type="fixed"/>
        <w:tblLook w:firstColumn="1" w:firstRow="1" w:lastColumn="0" w:lastRow="0" w:noHBand="0" w:noVBand="1" w:val="04A0"/>
        <w:tblLayout w:type="fixed"/>
      </w:tblPr>
      <w:tblGrid>
        <w:gridCol w:w="4876"/>
        <w:gridCol w:w="3061"/>
        <w:gridCol w:w="1701"/>
      </w:tblGrid>
      <w:tr>
        <w:trPr>
          <w:tblHeader/>
          <w:cantSplit/>
        </w:trPr>
        <w:tc>
          <w:tcPr>
            <w:tcW w:type="dxa" w:w="4876"/>
            <w:shd w:val="clear" w:color="auto" w:fill="C9A227"/>
          </w:tcPr>
          <w:p>
            <w:pPr>
              <w:keepNext/>
            </w:pPr>
            <w:r/>
            <w:r>
              <w:rPr>
                <w:b/>
                <w:color w:val="000000"/>
                <w:sz w:val="17"/>
              </w:rPr>
              <w:t>Deliverable</w:t>
            </w:r>
          </w:p>
        </w:tc>
        <w:tc>
          <w:tcPr>
            <w:tcW w:type="dxa" w:w="3061"/>
            <w:shd w:val="clear" w:color="auto" w:fill="C9A227"/>
          </w:tcPr>
          <w:p>
            <w:pPr>
              <w:keepNext/>
            </w:pPr>
            <w:r/>
            <w:r>
              <w:rPr>
                <w:b/>
                <w:color w:val="000000"/>
                <w:sz w:val="17"/>
              </w:rPr>
              <w:t>Timing</w:t>
            </w:r>
          </w:p>
        </w:tc>
        <w:tc>
          <w:tcPr>
            <w:tcW w:type="dxa" w:w="1701"/>
            <w:shd w:val="clear" w:color="auto" w:fill="C9A227"/>
          </w:tcPr>
          <w:p>
            <w:pPr>
              <w:keepNext/>
            </w:pPr>
            <w:r/>
            <w:r>
              <w:rPr>
                <w:b/>
                <w:color w:val="000000"/>
                <w:sz w:val="17"/>
              </w:rPr>
              <w:t>Format</w:t>
            </w:r>
          </w:p>
        </w:tc>
      </w:tr>
      <w:tr>
        <w:trPr>
          <w:cantSplit/>
        </w:trPr>
        <w:tc>
          <w:tcPr>
            <w:tcW w:type="dxa" w:w="4876"/>
          </w:tcPr>
          <w:p>
            <w:pPr>
              <w:keepNext/>
              <w:spacing w:after="20"/>
            </w:pPr>
            <w:r/>
            <w:r>
              <w:rPr>
                <w:sz w:val="17"/>
              </w:rPr>
              <w:t>Project Management Plans (quality, safety, environment) and SWMS</w:t>
            </w:r>
          </w:p>
        </w:tc>
        <w:tc>
          <w:tcPr>
            <w:tcW w:type="dxa" w:w="3061"/>
          </w:tcPr>
          <w:p>
            <w:pPr>
              <w:keepNext/>
              <w:spacing w:after="20"/>
            </w:pPr>
            <w:r/>
            <w:r>
              <w:rPr>
                <w:sz w:val="17"/>
              </w:rPr>
              <w:t>Within 2 weeks of award</w:t>
            </w:r>
          </w:p>
        </w:tc>
        <w:tc>
          <w:tcPr>
            <w:tcW w:type="dxa" w:w="1701"/>
          </w:tcPr>
          <w:p>
            <w:pPr>
              <w:keepNext/>
              <w:spacing w:after="20"/>
            </w:pPr>
            <w:r/>
            <w:r>
              <w:rPr>
                <w:sz w:val="17"/>
              </w:rPr>
              <w:t>PDF</w:t>
            </w:r>
          </w:p>
        </w:tc>
      </w:tr>
      <w:tr>
        <w:trPr>
          <w:cantSplit/>
        </w:trPr>
        <w:tc>
          <w:tcPr>
            <w:tcW w:type="dxa" w:w="4876"/>
          </w:tcPr>
          <w:p>
            <w:pPr>
              <w:keepNext/>
              <w:spacing w:after="20"/>
            </w:pPr>
            <w:r/>
            <w:r>
              <w:rPr>
                <w:sz w:val="17"/>
              </w:rPr>
              <w:t>CQA Implementation Plan and hold point schedule</w:t>
            </w:r>
          </w:p>
        </w:tc>
        <w:tc>
          <w:tcPr>
            <w:tcW w:type="dxa" w:w="3061"/>
          </w:tcPr>
          <w:p>
            <w:pPr>
              <w:keepNext/>
              <w:spacing w:after="20"/>
            </w:pPr>
            <w:r/>
            <w:r>
              <w:rPr>
                <w:sz w:val="17"/>
              </w:rPr>
              <w:t>Before site possession</w:t>
            </w:r>
          </w:p>
        </w:tc>
        <w:tc>
          <w:tcPr>
            <w:tcW w:type="dxa" w:w="1701"/>
          </w:tcPr>
          <w:p>
            <w:pPr>
              <w:keepNext/>
              <w:spacing w:after="20"/>
            </w:pPr>
            <w:r/>
            <w:r>
              <w:rPr>
                <w:sz w:val="17"/>
              </w:rPr>
              <w:t>PDF</w:t>
            </w:r>
          </w:p>
        </w:tc>
      </w:tr>
      <w:tr>
        <w:trPr>
          <w:cantSplit/>
        </w:trPr>
        <w:tc>
          <w:tcPr>
            <w:tcW w:type="dxa" w:w="4876"/>
          </w:tcPr>
          <w:p>
            <w:pPr>
              <w:keepNext/>
              <w:spacing w:after="20"/>
            </w:pPr>
            <w:r/>
            <w:r>
              <w:rPr>
                <w:sz w:val="17"/>
              </w:rPr>
              <w:t>Daily CQA logs, hold point releases, NCR and test registers</w:t>
            </w:r>
          </w:p>
        </w:tc>
        <w:tc>
          <w:tcPr>
            <w:tcW w:type="dxa" w:w="3061"/>
          </w:tcPr>
          <w:p>
            <w:pPr>
              <w:keepNext/>
              <w:spacing w:after="20"/>
            </w:pPr>
            <w:r/>
            <w:r>
              <w:rPr>
                <w:sz w:val="17"/>
              </w:rPr>
              <w:t>Throughout construction</w:t>
            </w:r>
          </w:p>
        </w:tc>
        <w:tc>
          <w:tcPr>
            <w:tcW w:type="dxa" w:w="1701"/>
          </w:tcPr>
          <w:p>
            <w:pPr>
              <w:keepNext/>
              <w:spacing w:after="20"/>
            </w:pPr>
            <w:r/>
            <w:r>
              <w:rPr>
                <w:sz w:val="17"/>
              </w:rPr>
              <w:t>PDF / Excel</w:t>
            </w:r>
          </w:p>
        </w:tc>
      </w:tr>
      <w:tr>
        <w:trPr>
          <w:cantSplit/>
        </w:trPr>
        <w:tc>
          <w:tcPr>
            <w:tcW w:type="dxa" w:w="4876"/>
          </w:tcPr>
          <w:p>
            <w:pPr>
              <w:keepNext/>
              <w:spacing w:after="20"/>
            </w:pPr>
            <w:r/>
            <w:r>
              <w:rPr>
                <w:sz w:val="17"/>
              </w:rPr>
              <w:t>Monthly progress report</w:t>
            </w:r>
          </w:p>
        </w:tc>
        <w:tc>
          <w:tcPr>
            <w:tcW w:type="dxa" w:w="3061"/>
          </w:tcPr>
          <w:p>
            <w:pPr>
              <w:keepNext/>
              <w:spacing w:after="20"/>
            </w:pPr>
            <w:r/>
            <w:r>
              <w:rPr>
                <w:sz w:val="17"/>
              </w:rPr>
              <w:t>With each monthly claim</w:t>
            </w:r>
          </w:p>
        </w:tc>
        <w:tc>
          <w:tcPr>
            <w:tcW w:type="dxa" w:w="1701"/>
          </w:tcPr>
          <w:p>
            <w:pPr>
              <w:keepNext/>
              <w:spacing w:after="20"/>
            </w:pPr>
            <w:r/>
            <w:r>
              <w:rPr>
                <w:sz w:val="17"/>
              </w:rPr>
              <w:t>PDF</w:t>
            </w:r>
          </w:p>
        </w:tc>
      </w:tr>
      <w:tr>
        <w:trPr>
          <w:cantSplit/>
        </w:trPr>
        <w:tc>
          <w:tcPr>
            <w:tcW w:type="dxa" w:w="4876"/>
          </w:tcPr>
          <w:p>
            <w:pPr>
              <w:keepNext/>
              <w:spacing w:after="20"/>
            </w:pPr>
            <w:r/>
            <w:r>
              <w:rPr>
                <w:sz w:val="17"/>
              </w:rPr>
              <w:t>IQA laboratory and leak location survey reports</w:t>
            </w:r>
          </w:p>
        </w:tc>
        <w:tc>
          <w:tcPr>
            <w:tcW w:type="dxa" w:w="3061"/>
          </w:tcPr>
          <w:p>
            <w:pPr>
              <w:keepNext/>
              <w:spacing w:after="20"/>
            </w:pPr>
            <w:r/>
            <w:r>
              <w:rPr>
                <w:sz w:val="17"/>
              </w:rPr>
              <w:t>Within 5 business days of receipt</w:t>
            </w:r>
          </w:p>
        </w:tc>
        <w:tc>
          <w:tcPr>
            <w:tcW w:type="dxa" w:w="1701"/>
          </w:tcPr>
          <w:p>
            <w:pPr>
              <w:keepNext/>
              <w:spacing w:after="20"/>
            </w:pPr>
            <w:r/>
            <w:r>
              <w:rPr>
                <w:sz w:val="17"/>
              </w:rPr>
              <w:t>PDF</w:t>
            </w:r>
          </w:p>
        </w:tc>
      </w:tr>
      <w:tr>
        <w:trPr>
          <w:cantSplit/>
        </w:trPr>
        <w:tc>
          <w:tcPr>
            <w:tcW w:type="dxa" w:w="4876"/>
          </w:tcPr>
          <w:p>
            <w:pPr>
              <w:keepNext/>
              <w:spacing w:after="20"/>
            </w:pPr>
            <w:r/>
            <w:r>
              <w:rPr>
                <w:sz w:val="17"/>
              </w:rPr>
              <w:t>As-constructed CQA report, Cell 3.1</w:t>
            </w:r>
          </w:p>
        </w:tc>
        <w:tc>
          <w:tcPr>
            <w:tcW w:type="dxa" w:w="3061"/>
          </w:tcPr>
          <w:p>
            <w:pPr>
              <w:keepNext/>
              <w:spacing w:after="20"/>
            </w:pPr>
            <w:r/>
            <w:r>
              <w:rPr>
                <w:sz w:val="17"/>
              </w:rPr>
              <w:t>Within 10 business days of the final hold point</w:t>
            </w:r>
          </w:p>
        </w:tc>
        <w:tc>
          <w:tcPr>
            <w:tcW w:type="dxa" w:w="1701"/>
          </w:tcPr>
          <w:p>
            <w:pPr>
              <w:keepNext/>
              <w:spacing w:after="20"/>
            </w:pPr>
            <w:r/>
            <w:r>
              <w:rPr>
                <w:sz w:val="17"/>
              </w:rPr>
              <w:t>PDF + 2 printed copies</w:t>
            </w:r>
          </w:p>
        </w:tc>
      </w:tr>
      <w:tr>
        <w:trPr>
          <w:cantSplit/>
        </w:trPr>
        <w:tc>
          <w:tcPr>
            <w:tcW w:type="dxa" w:w="4876"/>
          </w:tcPr>
          <w:p>
            <w:pPr>
              <w:keepNext/>
              <w:spacing w:after="20"/>
            </w:pPr>
            <w:r/>
            <w:r>
              <w:rPr>
                <w:sz w:val="17"/>
              </w:rPr>
              <w:t>As-constructed CQA report, Monocell M1.1</w:t>
            </w:r>
          </w:p>
        </w:tc>
        <w:tc>
          <w:tcPr>
            <w:tcW w:type="dxa" w:w="3061"/>
          </w:tcPr>
          <w:p>
            <w:pPr>
              <w:keepNext/>
              <w:spacing w:after="20"/>
            </w:pPr>
            <w:r/>
            <w:r>
              <w:rPr>
                <w:sz w:val="17"/>
              </w:rPr>
              <w:t>Within 10 business days of the final hold point</w:t>
            </w:r>
          </w:p>
        </w:tc>
        <w:tc>
          <w:tcPr>
            <w:tcW w:type="dxa" w:w="1701"/>
          </w:tcPr>
          <w:p>
            <w:pPr>
              <w:keepNext/>
              <w:spacing w:after="20"/>
            </w:pPr>
            <w:r/>
            <w:r>
              <w:rPr>
                <w:sz w:val="17"/>
              </w:rPr>
              <w:t>PDF + 2 printed copies</w:t>
            </w:r>
          </w:p>
        </w:tc>
      </w:tr>
      <w:tr>
        <w:trPr>
          <w:cantSplit/>
        </w:trPr>
        <w:tc>
          <w:tcPr>
            <w:tcW w:type="dxa" w:w="4876"/>
          </w:tcPr>
          <w:p>
            <w:pPr>
              <w:spacing w:after="20"/>
            </w:pPr>
            <w:r/>
            <w:r>
              <w:rPr>
                <w:sz w:val="17"/>
              </w:rPr>
              <w:t>Aerial orthophotos, layer surfaces and high-resolution progress and defect imagery from JCE site visits</w:t>
            </w:r>
          </w:p>
        </w:tc>
        <w:tc>
          <w:tcPr>
            <w:tcW w:type="dxa" w:w="3061"/>
          </w:tcPr>
          <w:p>
            <w:pPr>
              <w:spacing w:after="20"/>
            </w:pPr>
            <w:r/>
            <w:r>
              <w:rPr>
                <w:sz w:val="17"/>
              </w:rPr>
              <w:t>With the monthly report; compiled in each CQA report</w:t>
            </w:r>
          </w:p>
        </w:tc>
        <w:tc>
          <w:tcPr>
            <w:tcW w:type="dxa" w:w="1701"/>
          </w:tcPr>
          <w:p>
            <w:pPr>
              <w:spacing w:after="20"/>
            </w:pPr>
            <w:r/>
            <w:r>
              <w:rPr>
                <w:sz w:val="17"/>
              </w:rPr>
              <w:t>GeoTIFF / PDF / JPG</w:t>
            </w:r>
          </w:p>
        </w:tc>
      </w:tr>
    </w:tbl>
    <w:p>
      <w:pPr>
        <w:spacing w:after="40"/>
      </w:pPr>
    </w:p>
    <w:p>
      <w:pPr>
        <w:pStyle w:val="Heading1"/>
        <w:pBdr>
          <w:bottom w:val="single" w:sz="6" w:space="1" w:color="C9A227"/>
        </w:pBdr>
      </w:pPr>
      <w:r>
        <w:t>7.0   Program</w:t>
      </w:r>
    </w:p>
    <w:p>
      <w:r>
        <w:rPr>
          <w:i w:val="0"/>
        </w:rPr>
        <w:t>The program follows the Contractor's approved construction program, which Council provides before work starts (Part D 1.7). JCE has assumed the timing below. Portions may run sequentially or concurrently and the price holds either way (Part D 1.17.1).</w:t>
      </w:r>
    </w:p>
    <w:tbl>
      <w:tblPr>
        <w:tblStyle w:val="TableGrid"/>
        <w:tblW w:type="dxa" w:w="9639"/>
        <w:jc w:val="center"/>
        <w:tblLayout w:type="fixed"/>
        <w:tblLook w:firstColumn="1" w:firstRow="1" w:lastColumn="0" w:lastRow="0" w:noHBand="0" w:noVBand="1" w:val="04A0"/>
        <w:tblLayout w:type="fixed"/>
      </w:tblPr>
      <w:tblGrid>
        <w:gridCol w:w="2835"/>
        <w:gridCol w:w="3288"/>
        <w:gridCol w:w="3515"/>
      </w:tblGrid>
      <w:tr>
        <w:trPr>
          <w:tblHeader/>
          <w:cantSplit/>
        </w:trPr>
        <w:tc>
          <w:tcPr>
            <w:tcW w:type="dxa" w:w="2835"/>
            <w:shd w:val="clear" w:color="auto" w:fill="C9A227"/>
          </w:tcPr>
          <w:p>
            <w:pPr>
              <w:keepNext/>
            </w:pPr>
            <w:r/>
            <w:r>
              <w:rPr>
                <w:b/>
                <w:color w:val="000000"/>
                <w:sz w:val="17"/>
              </w:rPr>
              <w:t>Phase</w:t>
            </w:r>
          </w:p>
        </w:tc>
        <w:tc>
          <w:tcPr>
            <w:tcW w:type="dxa" w:w="3288"/>
            <w:shd w:val="clear" w:color="auto" w:fill="C9A227"/>
          </w:tcPr>
          <w:p>
            <w:pPr>
              <w:keepNext/>
            </w:pPr>
            <w:r/>
            <w:r>
              <w:rPr>
                <w:b/>
                <w:color w:val="000000"/>
                <w:sz w:val="17"/>
              </w:rPr>
              <w:t>Assumed timing</w:t>
            </w:r>
          </w:p>
        </w:tc>
        <w:tc>
          <w:tcPr>
            <w:tcW w:type="dxa" w:w="3515"/>
            <w:shd w:val="clear" w:color="auto" w:fill="C9A227"/>
          </w:tcPr>
          <w:p>
            <w:pPr>
              <w:keepNext/>
            </w:pPr>
            <w:r/>
            <w:r>
              <w:rPr>
                <w:b/>
                <w:color w:val="000000"/>
                <w:sz w:val="17"/>
              </w:rPr>
              <w:t>Site presence</w:t>
            </w:r>
          </w:p>
        </w:tc>
      </w:tr>
      <w:tr>
        <w:trPr>
          <w:cantSplit/>
        </w:trPr>
        <w:tc>
          <w:tcPr>
            <w:tcW w:type="dxa" w:w="2835"/>
          </w:tcPr>
          <w:p>
            <w:pPr>
              <w:keepNext/>
              <w:spacing w:after="20"/>
            </w:pPr>
            <w:r/>
            <w:r>
              <w:rPr>
                <w:sz w:val="17"/>
              </w:rPr>
              <w:t>Tender closes / Council decision</w:t>
            </w:r>
          </w:p>
        </w:tc>
        <w:tc>
          <w:tcPr>
            <w:tcW w:type="dxa" w:w="3288"/>
          </w:tcPr>
          <w:p>
            <w:pPr>
              <w:keepNext/>
              <w:spacing w:after="20"/>
            </w:pPr>
            <w:r/>
            <w:r>
              <w:rPr>
                <w:sz w:val="17"/>
              </w:rPr>
              <w:t>30/10/2026 / 29/12/2026</w:t>
            </w:r>
          </w:p>
        </w:tc>
        <w:tc>
          <w:tcPr>
            <w:tcW w:type="dxa" w:w="3515"/>
          </w:tcPr>
          <w:p>
            <w:pPr>
              <w:keepNext/>
              <w:spacing w:after="20"/>
            </w:pPr>
            <w:r/>
            <w:r>
              <w:rPr>
                <w:sz w:val="17"/>
              </w:rPr>
              <w:t>-</w:t>
            </w:r>
          </w:p>
        </w:tc>
      </w:tr>
      <w:tr>
        <w:trPr>
          <w:cantSplit/>
        </w:trPr>
        <w:tc>
          <w:tcPr>
            <w:tcW w:type="dxa" w:w="2835"/>
          </w:tcPr>
          <w:p>
            <w:pPr>
              <w:keepNext/>
              <w:spacing w:after="20"/>
            </w:pPr>
            <w:r/>
            <w:r>
              <w:rPr>
                <w:sz w:val="17"/>
              </w:rPr>
              <w:t>Award, management plans, inductions</w:t>
            </w:r>
          </w:p>
        </w:tc>
        <w:tc>
          <w:tcPr>
            <w:tcW w:type="dxa" w:w="3288"/>
          </w:tcPr>
          <w:p>
            <w:pPr>
              <w:keepNext/>
              <w:spacing w:after="20"/>
            </w:pPr>
            <w:r/>
            <w:r>
              <w:rPr>
                <w:sz w:val="17"/>
              </w:rPr>
              <w:t>January 2027</w:t>
            </w:r>
          </w:p>
        </w:tc>
        <w:tc>
          <w:tcPr>
            <w:tcW w:type="dxa" w:w="3515"/>
          </w:tcPr>
          <w:p>
            <w:pPr>
              <w:keepNext/>
              <w:spacing w:after="20"/>
            </w:pPr>
            <w:r/>
            <w:r>
              <w:rPr>
                <w:sz w:val="17"/>
              </w:rPr>
              <w:t>-</w:t>
            </w:r>
          </w:p>
        </w:tc>
      </w:tr>
      <w:tr>
        <w:trPr>
          <w:cantSplit/>
        </w:trPr>
        <w:tc>
          <w:tcPr>
            <w:tcW w:type="dxa" w:w="2835"/>
          </w:tcPr>
          <w:p>
            <w:pPr>
              <w:keepNext/>
              <w:spacing w:after="20"/>
            </w:pPr>
            <w:r/>
            <w:r>
              <w:rPr>
                <w:sz w:val="17"/>
              </w:rPr>
              <w:t>Portion 1, Cell 3.1 construction</w:t>
            </w:r>
          </w:p>
        </w:tc>
        <w:tc>
          <w:tcPr>
            <w:tcW w:type="dxa" w:w="3288"/>
          </w:tcPr>
          <w:p>
            <w:pPr>
              <w:keepNext/>
              <w:spacing w:after="20"/>
            </w:pPr>
            <w:r/>
            <w:r>
              <w:rPr>
                <w:sz w:val="17"/>
              </w:rPr>
              <w:t>February to September 2027; works accepted by 30/09/2027</w:t>
            </w:r>
          </w:p>
        </w:tc>
        <w:tc>
          <w:tcPr>
            <w:tcW w:type="dxa" w:w="3515"/>
          </w:tcPr>
          <w:p>
            <w:pPr>
              <w:keepNext/>
              <w:spacing w:after="20"/>
            </w:pPr>
            <w:r/>
            <w:r>
              <w:rPr>
                <w:sz w:val="17"/>
              </w:rPr>
              <w:t>Partner technicians all working hours (145 days assumed); JCE 8 visits, 14 site days</w:t>
            </w:r>
          </w:p>
        </w:tc>
      </w:tr>
      <w:tr>
        <w:trPr>
          <w:cantSplit/>
        </w:trPr>
        <w:tc>
          <w:tcPr>
            <w:tcW w:type="dxa" w:w="2835"/>
          </w:tcPr>
          <w:p>
            <w:pPr>
              <w:keepNext/>
              <w:spacing w:after="20"/>
            </w:pPr>
            <w:r/>
            <w:r>
              <w:rPr>
                <w:sz w:val="17"/>
              </w:rPr>
              <w:t>Cell 3.1 CQA report to Council for EPA</w:t>
            </w:r>
          </w:p>
        </w:tc>
        <w:tc>
          <w:tcPr>
            <w:tcW w:type="dxa" w:w="3288"/>
          </w:tcPr>
          <w:p>
            <w:pPr>
              <w:keepNext/>
              <w:spacing w:after="20"/>
            </w:pPr>
            <w:r/>
            <w:r>
              <w:rPr>
                <w:sz w:val="17"/>
              </w:rPr>
              <w:t>October 2027</w:t>
            </w:r>
          </w:p>
        </w:tc>
        <w:tc>
          <w:tcPr>
            <w:tcW w:type="dxa" w:w="3515"/>
          </w:tcPr>
          <w:p>
            <w:pPr>
              <w:keepNext/>
              <w:spacing w:after="20"/>
            </w:pPr>
            <w:r/>
            <w:r>
              <w:rPr>
                <w:sz w:val="17"/>
              </w:rPr>
              <w:t>-</w:t>
            </w:r>
          </w:p>
        </w:tc>
      </w:tr>
      <w:tr>
        <w:trPr>
          <w:cantSplit/>
        </w:trPr>
        <w:tc>
          <w:tcPr>
            <w:tcW w:type="dxa" w:w="2835"/>
          </w:tcPr>
          <w:p>
            <w:pPr>
              <w:keepNext/>
              <w:spacing w:after="20"/>
            </w:pPr>
            <w:r/>
            <w:r>
              <w:rPr>
                <w:sz w:val="17"/>
              </w:rPr>
              <w:t>Portion 2, Monocell M1.1, if triggered</w:t>
            </w:r>
          </w:p>
        </w:tc>
        <w:tc>
          <w:tcPr>
            <w:tcW w:type="dxa" w:w="3288"/>
          </w:tcPr>
          <w:p>
            <w:pPr>
              <w:keepNext/>
              <w:spacing w:after="20"/>
            </w:pPr>
            <w:r/>
            <w:r>
              <w:rPr>
                <w:sz w:val="17"/>
              </w:rPr>
              <w:t>April to November 2027</w:t>
            </w:r>
          </w:p>
        </w:tc>
        <w:tc>
          <w:tcPr>
            <w:tcW w:type="dxa" w:w="3515"/>
          </w:tcPr>
          <w:p>
            <w:pPr>
              <w:keepNext/>
              <w:spacing w:after="20"/>
            </w:pPr>
            <w:r/>
            <w:r>
              <w:rPr>
                <w:sz w:val="17"/>
              </w:rPr>
              <w:t>Partner technicians all working hours (80 days assumed); JCE 5 visits, 8 site days</w:t>
            </w:r>
          </w:p>
        </w:tc>
      </w:tr>
      <w:tr>
        <w:trPr>
          <w:cantSplit/>
        </w:trPr>
        <w:tc>
          <w:tcPr>
            <w:tcW w:type="dxa" w:w="2835"/>
          </w:tcPr>
          <w:p>
            <w:pPr>
              <w:spacing w:after="20"/>
            </w:pPr>
            <w:r/>
            <w:r>
              <w:rPr>
                <w:sz w:val="17"/>
              </w:rPr>
              <w:t>Monocell CQA report; contract completion</w:t>
            </w:r>
          </w:p>
        </w:tc>
        <w:tc>
          <w:tcPr>
            <w:tcW w:type="dxa" w:w="3288"/>
          </w:tcPr>
          <w:p>
            <w:pPr>
              <w:spacing w:after="20"/>
            </w:pPr>
            <w:r/>
            <w:r>
              <w:rPr>
                <w:sz w:val="17"/>
              </w:rPr>
              <w:t>December 2027; 31/12/2027 (Annexure Item 13)</w:t>
            </w:r>
          </w:p>
        </w:tc>
        <w:tc>
          <w:tcPr>
            <w:tcW w:type="dxa" w:w="3515"/>
          </w:tcPr>
          <w:p>
            <w:pPr>
              <w:spacing w:after="20"/>
            </w:pPr>
            <w:r/>
            <w:r>
              <w:rPr>
                <w:sz w:val="17"/>
              </w:rPr>
              <w:t>-</w:t>
            </w:r>
          </w:p>
        </w:tc>
      </w:tr>
    </w:tbl>
    <w:p>
      <w:pPr>
        <w:spacing w:after="40"/>
      </w:pPr>
    </w:p>
    <w:p>
      <w:pPr>
        <w:jc w:val="center"/>
      </w:pPr>
      <w:r>
        <w:drawing>
          <wp:inline xmlns:a="http://schemas.openxmlformats.org/drawingml/2006/main" xmlns:pic="http://schemas.openxmlformats.org/drawingml/2006/picture">
            <wp:extent cx="5940000" cy="2138400"/>
            <wp:docPr id="1" name="Picture 1"/>
            <wp:cNvGraphicFramePr>
              <a:graphicFrameLocks noChangeAspect="1"/>
            </wp:cNvGraphicFramePr>
            <a:graphic>
              <a:graphicData uri="http://schemas.openxmlformats.org/drawingml/2006/picture">
                <pic:pic>
                  <pic:nvPicPr>
                    <pic:cNvPr id="0" name="gantt.png"/>
                    <pic:cNvPicPr/>
                  </pic:nvPicPr>
                  <pic:blipFill>
                    <a:blip r:embed="rId10"/>
                    <a:stretch>
                      <a:fillRect/>
                    </a:stretch>
                  </pic:blipFill>
                  <pic:spPr>
                    <a:xfrm>
                      <a:off x="0" y="0"/>
                      <a:ext cx="5940000" cy="2138400"/>
                    </a:xfrm>
                    <a:prstGeom prst="rect"/>
                  </pic:spPr>
                </pic:pic>
              </a:graphicData>
            </a:graphic>
          </wp:inline>
        </w:drawing>
      </w:r>
    </w:p>
    <w:p>
      <w:r>
        <w:rPr>
          <w:i/>
          <w:sz w:val="17"/>
        </w:rPr>
        <w:t>Figure 1: Assumed CQA program against the Part D 1.17.5 and Annexure Item 13 dates.</w:t>
      </w:r>
    </w:p>
    <w:p>
      <w:pPr>
        <w:pStyle w:val="Heading1"/>
        <w:pBdr>
          <w:bottom w:val="single" w:sz="6" w:space="1" w:color="C9A227"/>
        </w:pBdr>
      </w:pPr>
      <w:r>
        <w:t>8.0   Team and experience</w:t>
      </w:r>
    </w:p>
    <w:tbl>
      <w:tblPr>
        <w:tblStyle w:val="TableGrid"/>
        <w:tblW w:type="dxa" w:w="9639"/>
        <w:jc w:val="center"/>
        <w:tblLayout w:type="fixed"/>
        <w:tblLook w:firstColumn="1" w:firstRow="1" w:lastColumn="0" w:lastRow="0" w:noHBand="0" w:noVBand="1" w:val="04A0"/>
        <w:tblLayout w:type="fixed"/>
      </w:tblPr>
      <w:tblGrid>
        <w:gridCol w:w="2041"/>
        <w:gridCol w:w="2835"/>
        <w:gridCol w:w="4762"/>
      </w:tblGrid>
      <w:tr>
        <w:trPr>
          <w:tblHeader/>
          <w:cantSplit/>
        </w:trPr>
        <w:tc>
          <w:tcPr>
            <w:tcW w:type="dxa" w:w="2041"/>
            <w:shd w:val="clear" w:color="auto" w:fill="C9A227"/>
          </w:tcPr>
          <w:p>
            <w:pPr>
              <w:keepNext/>
            </w:pPr>
            <w:r/>
            <w:r>
              <w:rPr>
                <w:b/>
                <w:color w:val="000000"/>
                <w:sz w:val="17"/>
              </w:rPr>
              <w:t>Role</w:t>
            </w:r>
          </w:p>
        </w:tc>
        <w:tc>
          <w:tcPr>
            <w:tcW w:type="dxa" w:w="2835"/>
            <w:shd w:val="clear" w:color="auto" w:fill="C9A227"/>
          </w:tcPr>
          <w:p>
            <w:pPr>
              <w:keepNext/>
            </w:pPr>
            <w:r/>
            <w:r>
              <w:rPr>
                <w:b/>
                <w:color w:val="000000"/>
                <w:sz w:val="17"/>
              </w:rPr>
              <w:t>Person and firm</w:t>
            </w:r>
          </w:p>
        </w:tc>
        <w:tc>
          <w:tcPr>
            <w:tcW w:type="dxa" w:w="4762"/>
            <w:shd w:val="clear" w:color="auto" w:fill="C9A227"/>
          </w:tcPr>
          <w:p>
            <w:pPr>
              <w:keepNext/>
            </w:pPr>
            <w:r/>
            <w:r>
              <w:rPr>
                <w:b/>
                <w:color w:val="000000"/>
                <w:sz w:val="17"/>
              </w:rPr>
              <w:t>Relevant experience</w:t>
            </w:r>
          </w:p>
        </w:tc>
      </w:tr>
      <w:tr>
        <w:trPr>
          <w:cantSplit/>
        </w:trPr>
        <w:tc>
          <w:tcPr>
            <w:tcW w:type="dxa" w:w="2041"/>
          </w:tcPr>
          <w:p>
            <w:pPr>
              <w:keepNext/>
              <w:spacing w:after="20"/>
            </w:pPr>
            <w:r/>
            <w:r>
              <w:rPr>
                <w:sz w:val="17"/>
              </w:rPr>
              <w:t>CQA Engineer of record (Lead CQA Engineer)</w:t>
            </w:r>
          </w:p>
        </w:tc>
        <w:tc>
          <w:tcPr>
            <w:tcW w:type="dxa" w:w="2835"/>
          </w:tcPr>
          <w:p>
            <w:pPr>
              <w:keepNext/>
              <w:spacing w:after="20"/>
            </w:pPr>
            <w:r/>
            <w:r>
              <w:rPr>
                <w:sz w:val="17"/>
              </w:rPr>
              <w:t>Jayden Callen, BEng (Civil)(Hons), MIEAust (EA 11036201), JCE</w:t>
            </w:r>
          </w:p>
        </w:tc>
        <w:tc>
          <w:tcPr>
            <w:tcW w:type="dxa" w:w="4762"/>
          </w:tcPr>
          <w:p>
            <w:pPr>
              <w:keepNext/>
              <w:spacing w:after="20"/>
            </w:pPr>
            <w:r/>
            <w:r>
              <w:rPr>
                <w:sz w:val="17"/>
              </w:rPr>
              <w:t>8+ years in civil infrastructure. Engineering for a council landfill leachate storage facility (Tablelands Regional Council, while at Langtree Consulting Engineers); engineering delivery for CPB Contractors (head contractor) at RAAF Base Townsville; site engineering and QA on Defence projects; hold point review of a contractor's pump station package; drone photogrammetry. No previous CQA commission on a landfill cell liner.</w:t>
            </w:r>
          </w:p>
        </w:tc>
      </w:tr>
      <w:tr>
        <w:trPr>
          <w:cantSplit/>
        </w:trPr>
        <w:tc>
          <w:tcPr>
            <w:tcW w:type="dxa" w:w="2041"/>
          </w:tcPr>
          <w:p>
            <w:pPr>
              <w:keepNext/>
              <w:spacing w:after="20"/>
            </w:pPr>
            <w:r/>
            <w:r>
              <w:rPr>
                <w:sz w:val="17"/>
              </w:rPr>
              <w:t>Senior landfill CQA engineer</w:t>
            </w:r>
          </w:p>
        </w:tc>
        <w:tc>
          <w:tcPr>
            <w:tcW w:type="dxa" w:w="2835"/>
          </w:tcPr>
          <w:p>
            <w:pPr>
              <w:keepNext/>
              <w:spacing w:after="20"/>
            </w:pPr>
            <w:r/>
            <w:r>
              <w:rPr>
                <w:sz w:val="17"/>
              </w:rPr>
              <w:t>[Name, qualifications], [Riverina CQA partner, TBC - Jayden from RFQ]</w:t>
            </w:r>
          </w:p>
        </w:tc>
        <w:tc>
          <w:tcPr>
            <w:tcW w:type="dxa" w:w="4762"/>
          </w:tcPr>
          <w:p>
            <w:pPr>
              <w:keepNext/>
              <w:spacing w:after="20"/>
            </w:pPr>
            <w:r/>
            <w:r>
              <w:rPr>
                <w:sz w:val="17"/>
              </w:rPr>
              <w:t>[At least two NSW landfill cell or cap CQA projects: site, EPL, liner system, role, year, referee. TBC from RFQ]</w:t>
            </w:r>
          </w:p>
        </w:tc>
      </w:tr>
      <w:tr>
        <w:trPr>
          <w:cantSplit/>
        </w:trPr>
        <w:tc>
          <w:tcPr>
            <w:tcW w:type="dxa" w:w="2041"/>
          </w:tcPr>
          <w:p>
            <w:pPr>
              <w:keepNext/>
              <w:spacing w:after="20"/>
            </w:pPr>
            <w:r/>
            <w:r>
              <w:rPr>
                <w:sz w:val="17"/>
              </w:rPr>
              <w:t>Resident CQA technicians</w:t>
            </w:r>
          </w:p>
        </w:tc>
        <w:tc>
          <w:tcPr>
            <w:tcW w:type="dxa" w:w="2835"/>
          </w:tcPr>
          <w:p>
            <w:pPr>
              <w:keepNext/>
              <w:spacing w:after="20"/>
            </w:pPr>
            <w:r/>
            <w:r>
              <w:rPr>
                <w:sz w:val="17"/>
              </w:rPr>
              <w:t>[Names], [Riverina CQA partner, TBC - Jayden from RFQ]</w:t>
            </w:r>
          </w:p>
        </w:tc>
        <w:tc>
          <w:tcPr>
            <w:tcW w:type="dxa" w:w="4762"/>
          </w:tcPr>
          <w:p>
            <w:pPr>
              <w:keepNext/>
              <w:spacing w:after="20"/>
            </w:pPr>
            <w:r/>
            <w:r>
              <w:rPr>
                <w:sz w:val="17"/>
              </w:rPr>
              <w:t>[Landfill liner and earthworks CQA experience, Level 1 earthworks experience, NATA field testing. TBC from RFQ]</w:t>
            </w:r>
          </w:p>
        </w:tc>
      </w:tr>
      <w:tr>
        <w:trPr>
          <w:cantSplit/>
        </w:trPr>
        <w:tc>
          <w:tcPr>
            <w:tcW w:type="dxa" w:w="2041"/>
          </w:tcPr>
          <w:p>
            <w:pPr>
              <w:spacing w:after="20"/>
            </w:pPr>
            <w:r/>
            <w:r>
              <w:rPr>
                <w:sz w:val="17"/>
              </w:rPr>
              <w:t>Specialist testing and survey</w:t>
            </w:r>
          </w:p>
        </w:tc>
        <w:tc>
          <w:tcPr>
            <w:tcW w:type="dxa" w:w="2835"/>
          </w:tcPr>
          <w:p>
            <w:pPr>
              <w:spacing w:after="20"/>
            </w:pPr>
            <w:r/>
            <w:r>
              <w:rPr>
                <w:sz w:val="17"/>
              </w:rPr>
              <w:t>[Geosynthetics laboratory; leak location specialist; Wagga Wagga surveyor]</w:t>
            </w:r>
          </w:p>
        </w:tc>
        <w:tc>
          <w:tcPr>
            <w:tcW w:type="dxa" w:w="4762"/>
          </w:tcPr>
          <w:p>
            <w:pPr>
              <w:spacing w:after="20"/>
            </w:pPr>
            <w:r/>
            <w:r>
              <w:rPr>
                <w:sz w:val="17"/>
              </w:rPr>
              <w:t>[NATA scopes and project lists TBC from RFQ]</w:t>
            </w:r>
          </w:p>
        </w:tc>
      </w:tr>
    </w:tbl>
    <w:p>
      <w:pPr>
        <w:spacing w:after="40"/>
      </w:pPr>
    </w:p>
    <w:p>
      <w:r>
        <w:rPr>
          <w:b/>
        </w:rPr>
        <w:t xml:space="preserve">Jayden Callen. </w:t>
      </w:r>
      <w:r>
        <w:rPr>
          <w:i w:val="0"/>
        </w:rPr>
        <w:t>Jayden Callen leads every JCE commission personally. Experience relevant to this role:</w:t>
      </w:r>
    </w:p>
    <w:p>
      <w:pPr>
        <w:pStyle w:val="ListBullet"/>
      </w:pPr>
      <w:r>
        <w:t>Jayden Callen (while at Langtree Consulting Engineers): Leachate storage facility, Tablelands Regional Council (QLD): engineering for a landfill leachate storage facility.</w:t>
      </w:r>
    </w:p>
    <w:p>
      <w:pPr>
        <w:pStyle w:val="ListBullet"/>
      </w:pPr>
      <w:r>
        <w:t>Jayden Callen (while at Langtree Consulting Engineers): Floodway rectification, Tablelands Regional Council (QLD): engineering for the rectification of a floodway on Council's road network.</w:t>
      </w:r>
    </w:p>
    <w:p>
      <w:pPr>
        <w:pStyle w:val="ListBullet"/>
      </w:pPr>
      <w:r>
        <w:t>RAAF Base Townsville, Defence delivery project: engineering delivery for CPB Contractors (head contractor).</w:t>
      </w:r>
    </w:p>
    <w:p>
      <w:pPr>
        <w:pStyle w:val="ListBullet"/>
      </w:pPr>
      <w:r>
        <w:t>Site engineering and quality assurance oversight for about 10 km of potable and fire water mains, carparks and water treatment facilities at RAAF Base Townsville on a 12-month secondment to CPB Contractors, including site supervision, safety audits, PFAS management and latent conditions tracking (SCP Consulting, 2023 to 2025).</w:t>
      </w:r>
    </w:p>
    <w:p>
      <w:pPr>
        <w:pStyle w:val="ListBullet"/>
      </w:pPr>
      <w:r>
        <w:t>Site support and construction surveillance for runway asphalt works at RAAF Base Tindal (KC-30A Airfield Works, about $1.1 billion), and site supervision of early civil investigation works for the Army Aviation Program of Works, Townsville.</w:t>
      </w:r>
    </w:p>
    <w:p>
      <w:pPr>
        <w:pStyle w:val="ListBullet"/>
      </w:pPr>
      <w:r>
        <w:t>Technical review of a design and construct contractor's sewage pumping station package at Western Sydney International Airport, recorded in review register SPS-REG-001 (59 items at Revision F, including four hold points).</w:t>
      </w:r>
    </w:p>
    <w:p>
      <w:pPr>
        <w:pStyle w:val="ListBullet"/>
      </w:pPr>
      <w:r>
        <w:t>Soil testing and site classification work early in his career (Northwest Projects, Gunnedah, 2018 to 2021), and construction phase civil design of bulk earthworks and grading for the HMAS Watson redevelopment (about $160 million).</w:t>
      </w:r>
    </w:p>
    <w:p>
      <w:pPr>
        <w:pStyle w:val="ListBullet"/>
      </w:pPr>
      <w:r>
        <w:t>Management of specialist sub-consultants to one program as Civil Design Manager at Langtree Consulting Engineers (2025 to 2026), including remote DATSIP subdivisions in Cape York.</w:t>
      </w:r>
    </w:p>
    <w:p>
      <w:pPr>
        <w:pStyle w:val="ListBullet"/>
      </w:pPr>
      <w:r>
        <w:t>Farm drainage works, private rural client (Craig Sullivan): drone photogrammetry survey of the property using RTK-positioned automated flights, processed in Autodesk ReCap Pro to a terrain surface used to design the drainage works. Referee details available on request.</w:t>
      </w:r>
    </w:p>
    <w:p>
      <w:r>
        <w:rPr>
          <w:b/>
        </w:rPr>
        <w:t xml:space="preserve">Council referee. </w:t>
      </w:r>
      <w:r>
        <w:rPr>
          <w:i w:val="0"/>
        </w:rPr>
        <w:t>Darren Quilliam, Tablelands Regional Council (Jayden's leachate storage facility and floodway rectification work at Langtree Consulting Engineers): contact details available on request.</w:t>
      </w:r>
    </w:p>
    <w:p>
      <w:r>
        <w:rPr>
          <w:b/>
        </w:rPr>
        <w:t xml:space="preserve">Head contractor referee. </w:t>
      </w:r>
      <w:r>
        <w:rPr>
          <w:i w:val="0"/>
        </w:rPr>
        <w:t>Maverick Partner, CPB Contractors (RAAF Base Townsville delivery): contact details available on request.</w:t>
      </w:r>
    </w:p>
    <w:p>
      <w:r>
        <w:rPr>
          <w:b/>
        </w:rPr>
        <w:t xml:space="preserve">Drone photogrammetry. </w:t>
      </w:r>
      <w:r>
        <w:rPr>
          <w:i w:val="0"/>
        </w:rPr>
        <w:t>Jayden has delivered drone photogrammetry on previous projects, planning automated flight paths in DroneDeploy, capturing RTK-positioned photogrammetry and high-resolution aerial stills and video, and processing in Autodesk ReCap Pro to build point clouds and terrain surfaces for use in Autodesk InfraWorks and civil design models.</w:t>
      </w:r>
    </w:p>
    <w:p>
      <w:r>
        <w:rPr>
          <w:b/>
        </w:rPr>
        <w:t xml:space="preserve">Resources and equipment. </w:t>
      </w:r>
      <w:r>
        <w:rPr>
          <w:i w:val="0"/>
        </w:rPr>
        <w:t>JCE's related business, Glide Inside (glideinside.com.au), produces 3D digital models and visualisation for the property and construction sector. JCE delivers drone photogrammetry (orthophotos, 3D models and geotagged inspection imagery) using a DJI Mavic 3 Enterprise with RTK, operated under CASA's sub-2 kg excluded category, with operator accreditation in place before services start.</w:t>
      </w:r>
    </w:p>
    <w:p>
      <w:r>
        <w:rPr>
          <w:b/>
        </w:rPr>
        <w:t xml:space="preserve">Landfill CQA record. </w:t>
      </w:r>
      <w:r>
        <w:rPr>
          <w:i w:val="0"/>
        </w:rPr>
        <w:t>The partner's senior landfill CQA engineer and technicians provide the landfill liner CQA experience that Part D 1.3 and the CQA Plans call for. [Insert the partner's landfill CQA projects and two referees from the RFQ response - Jayden.]</w:t>
      </w:r>
    </w:p>
    <w:p>
      <w:r>
        <w:rPr>
          <w:b/>
        </w:rPr>
        <w:t xml:space="preserve">Availability. </w:t>
      </w:r>
      <w:r>
        <w:rPr>
          <w:i w:val="0"/>
        </w:rPr>
        <w:t>Jayden is available for the full contract period. Partner technicians are available on 24 hours' notice from Wagga Wagga, about 15 km from the site [TBC - confirm with partner].</w:t>
      </w:r>
    </w:p>
    <w:p>
      <w:pPr>
        <w:pStyle w:val="Heading1"/>
        <w:pBdr>
          <w:bottom w:val="single" w:sz="6" w:space="1" w:color="C9A227"/>
        </w:pBdr>
      </w:pPr>
      <w:r>
        <w:t>9.0   Regional content</w:t>
      </w:r>
    </w:p>
    <w:p>
      <w:r>
        <w:rPr>
          <w:i w:val="0"/>
        </w:rPr>
        <w:t>JCE is based in Gunnedah, NSW (Form 8 Category C). The resident CQA technicians, the soils laboratory and the check surveyor are proposed from Wagga Wagga, so most site hours and testing spend will be delivered by people living in the area. JCE will also use local accommodation and services for its own site visits. [Partner to confirm staff addresses within the Riverina Joint Organisation area for Form 8 - Jayden. Note Form 8 lists Bland, Coolamon, Cootamundra-Gundagai, Greater Hume, Junee, Lockhart and Temora; RFI 6 asks whether Wagga Wagga LGA counts.]</w:t>
      </w:r>
    </w:p>
    <w:p>
      <w:pPr>
        <w:pStyle w:val="Heading1"/>
        <w:pBdr>
          <w:bottom w:val="single" w:sz="6" w:space="1" w:color="C9A227"/>
        </w:pBdr>
      </w:pPr>
      <w:r>
        <w:t>10.0   Independence and sign-off</w:t>
      </w:r>
    </w:p>
    <w:p>
      <w:pPr>
        <w:pStyle w:val="ListBullet"/>
      </w:pPr>
      <w:r>
        <w:t>JCE has no role in the design (Tonkin Consulting) or the construction contract and has no conflict of interest. Each sub-consultant will confirm in writing that it is independent of the Head Contractor, its liner installer and laboratory, and the designer.</w:t>
      </w:r>
    </w:p>
    <w:p>
      <w:pPr>
        <w:pStyle w:val="ListBullet"/>
      </w:pPr>
      <w:r>
        <w:t>IQA testing is carried out by NATA-accredited laboratories independent of the Contractor's laboratory, as Council's answer of 09/10/2026 requires.</w:t>
      </w:r>
    </w:p>
    <w:p>
      <w:pPr>
        <w:pStyle w:val="ListBullet"/>
      </w:pPr>
      <w:r>
        <w:t>The as-constructed CQA reports are signed by Jayden Callen as CQA Engineer of record and co-signed by the partner's senior landfill CQA engineer. NSW does not require RPEQ for this work. Jayden is MIEAust; he does not hold CPEng and his NER application is in progress. If Council requires a particular registration for the signatory (RFI 7), the partner's senior engineer [registration TBC] will meet it.</w:t>
      </w:r>
    </w:p>
    <w:p>
      <w:pPr>
        <w:pStyle w:val="ListBullet"/>
      </w:pPr>
      <w:r>
        <w:t>Design responsibility stays with Council's design consultant.</w:t>
      </w:r>
    </w:p>
    <w:p>
      <w:pPr>
        <w:pStyle w:val="Heading1"/>
        <w:pBdr>
          <w:bottom w:val="single" w:sz="6" w:space="1" w:color="C9A227"/>
        </w:pBdr>
      </w:pPr>
      <w:r>
        <w:t>11.0   Key risks and how we manage them</w:t>
      </w:r>
    </w:p>
    <w:tbl>
      <w:tblPr>
        <w:tblStyle w:val="TableGrid"/>
        <w:tblW w:type="dxa" w:w="9639"/>
        <w:jc w:val="center"/>
        <w:tblLayout w:type="fixed"/>
        <w:tblLook w:firstColumn="1" w:firstRow="1" w:lastColumn="0" w:lastRow="0" w:noHBand="0" w:noVBand="1" w:val="04A0"/>
        <w:tblLayout w:type="fixed"/>
      </w:tblPr>
      <w:tblGrid>
        <w:gridCol w:w="2835"/>
        <w:gridCol w:w="6804"/>
      </w:tblGrid>
      <w:tr>
        <w:trPr>
          <w:tblHeader/>
          <w:cantSplit/>
        </w:trPr>
        <w:tc>
          <w:tcPr>
            <w:tcW w:type="dxa" w:w="2835"/>
            <w:shd w:val="clear" w:color="auto" w:fill="C9A227"/>
          </w:tcPr>
          <w:p>
            <w:pPr>
              <w:keepNext/>
            </w:pPr>
            <w:r/>
            <w:r>
              <w:rPr>
                <w:b/>
                <w:color w:val="000000"/>
                <w:sz w:val="17"/>
              </w:rPr>
              <w:t>Risk</w:t>
            </w:r>
          </w:p>
        </w:tc>
        <w:tc>
          <w:tcPr>
            <w:tcW w:type="dxa" w:w="6803"/>
            <w:shd w:val="clear" w:color="auto" w:fill="C9A227"/>
          </w:tcPr>
          <w:p>
            <w:pPr>
              <w:keepNext/>
            </w:pPr>
            <w:r/>
            <w:r>
              <w:rPr>
                <w:b/>
                <w:color w:val="000000"/>
                <w:sz w:val="17"/>
              </w:rPr>
              <w:t>How JCE manages it</w:t>
            </w:r>
          </w:p>
        </w:tc>
      </w:tr>
      <w:tr>
        <w:trPr>
          <w:cantSplit/>
        </w:trPr>
        <w:tc>
          <w:tcPr>
            <w:tcW w:type="dxa" w:w="2835"/>
          </w:tcPr>
          <w:p>
            <w:pPr>
              <w:keepNext/>
              <w:spacing w:after="20"/>
            </w:pPr>
            <w:r/>
            <w:r>
              <w:rPr>
                <w:sz w:val="17"/>
              </w:rPr>
              <w:t>Cell 3.1 not accepted by 30/09/2027</w:t>
            </w:r>
          </w:p>
        </w:tc>
        <w:tc>
          <w:tcPr>
            <w:tcW w:type="dxa" w:w="6803"/>
          </w:tcPr>
          <w:p>
            <w:pPr>
              <w:keepNext/>
              <w:spacing w:after="20"/>
            </w:pPr>
            <w:r/>
            <w:r>
              <w:rPr>
                <w:sz w:val="17"/>
              </w:rPr>
              <w:t>Same-day hold point releases, next-day review of all records, IQA turnaround of 5 business days from a Wagga Wagga laboratory, Cell 3.1 report drafted progressively so it issues within 10 business days of the final hold point.</w:t>
            </w:r>
          </w:p>
        </w:tc>
      </w:tr>
      <w:tr>
        <w:trPr>
          <w:cantSplit/>
        </w:trPr>
        <w:tc>
          <w:tcPr>
            <w:tcW w:type="dxa" w:w="2835"/>
          </w:tcPr>
          <w:p>
            <w:pPr>
              <w:keepNext/>
              <w:spacing w:after="20"/>
            </w:pPr>
            <w:r/>
            <w:r>
              <w:rPr>
                <w:sz w:val="17"/>
              </w:rPr>
              <w:t>JCE based about 630 km from site</w:t>
            </w:r>
          </w:p>
        </w:tc>
        <w:tc>
          <w:tcPr>
            <w:tcW w:type="dxa" w:w="6803"/>
          </w:tcPr>
          <w:p>
            <w:pPr>
              <w:keepNext/>
              <w:spacing w:after="20"/>
            </w:pPr>
            <w:r/>
            <w:r>
              <w:rPr>
                <w:sz w:val="17"/>
              </w:rPr>
              <w:t>Partner technicians on site during all working hours. Remote record review and written releases each day. JCE attends critical hold points and can be on site within 24 hours.</w:t>
            </w:r>
          </w:p>
        </w:tc>
      </w:tr>
      <w:tr>
        <w:trPr>
          <w:cantSplit/>
        </w:trPr>
        <w:tc>
          <w:tcPr>
            <w:tcW w:type="dxa" w:w="2835"/>
          </w:tcPr>
          <w:p>
            <w:pPr>
              <w:keepNext/>
              <w:spacing w:after="20"/>
            </w:pPr>
            <w:r/>
            <w:r>
              <w:rPr>
                <w:sz w:val="17"/>
              </w:rPr>
              <w:t>JCE has no previous CQA commission on a landfill cell liner</w:t>
            </w:r>
          </w:p>
        </w:tc>
        <w:tc>
          <w:tcPr>
            <w:tcW w:type="dxa" w:w="6803"/>
          </w:tcPr>
          <w:p>
            <w:pPr>
              <w:keepNext/>
              <w:spacing w:after="20"/>
            </w:pPr>
            <w:r/>
            <w:r>
              <w:rPr>
                <w:sz w:val="17"/>
              </w:rPr>
              <w:t>Jayden has delivered engineering for a council landfill leachate storage facility (while at Langtree Consulting Engineers). The partner's senior landfill CQA engineer reviews the CQA Implementation Plan and records and co-signs each report; landfill-experienced technicians do the daily inspection.</w:t>
            </w:r>
          </w:p>
        </w:tc>
      </w:tr>
      <w:tr>
        <w:trPr>
          <w:cantSplit/>
        </w:trPr>
        <w:tc>
          <w:tcPr>
            <w:tcW w:type="dxa" w:w="2835"/>
          </w:tcPr>
          <w:p>
            <w:pPr>
              <w:keepNext/>
              <w:spacing w:after="20"/>
            </w:pPr>
            <w:r/>
            <w:r>
              <w:rPr>
                <w:sz w:val="17"/>
              </w:rPr>
              <w:t>Portions run concurrently</w:t>
            </w:r>
          </w:p>
        </w:tc>
        <w:tc>
          <w:tcPr>
            <w:tcW w:type="dxa" w:w="6803"/>
          </w:tcPr>
          <w:p>
            <w:pPr>
              <w:keepNext/>
              <w:spacing w:after="20"/>
            </w:pPr>
            <w:r/>
            <w:r>
              <w:rPr>
                <w:sz w:val="17"/>
              </w:rPr>
              <w:t>Partner can add a second technician on 24 hours' notice; PS1 and PS2 are priced by technician day.</w:t>
            </w:r>
          </w:p>
        </w:tc>
      </w:tr>
      <w:tr>
        <w:trPr>
          <w:cantSplit/>
        </w:trPr>
        <w:tc>
          <w:tcPr>
            <w:tcW w:type="dxa" w:w="2835"/>
          </w:tcPr>
          <w:p>
            <w:pPr>
              <w:spacing w:after="20"/>
            </w:pPr>
            <w:r/>
            <w:r>
              <w:rPr>
                <w:sz w:val="17"/>
              </w:rPr>
              <w:t>Asbestos and lead slag at M1.1</w:t>
            </w:r>
          </w:p>
        </w:tc>
        <w:tc>
          <w:tcPr>
            <w:tcW w:type="dxa" w:w="6803"/>
          </w:tcPr>
          <w:p>
            <w:pPr>
              <w:spacing w:after="20"/>
            </w:pPr>
            <w:r/>
            <w:r>
              <w:rPr>
                <w:sz w:val="17"/>
              </w:rPr>
              <w:t>Site-specific SWMS, asbestos awareness for all CQA staff, and compliance with the Contractor's asbestos management plan.</w:t>
            </w:r>
          </w:p>
        </w:tc>
      </w:tr>
    </w:tbl>
    <w:p>
      <w:pPr>
        <w:spacing w:after="40"/>
      </w:pPr>
    </w:p>
    <w:p>
      <w:pPr>
        <w:pStyle w:val="Heading1"/>
        <w:pBdr>
          <w:bottom w:val="single" w:sz="6" w:space="1" w:color="C9A227"/>
        </w:pBdr>
      </w:pPr>
      <w:r>
        <w:t>12.0   Exclusions</w:t>
      </w:r>
    </w:p>
    <w:p>
      <w:pPr>
        <w:pStyle w:val="ListBullet"/>
      </w:pPr>
      <w:r>
        <w:t>GTA (Level 2) subgrade testing, which Council's answer of 06/10/2026 places with the Head Contractor.</w:t>
      </w:r>
    </w:p>
    <w:p>
      <w:pPr>
        <w:pStyle w:val="ListBullet"/>
      </w:pPr>
      <w:r>
        <w:t>The GITA's Level 1 inspection and testing of the engineered fill layer, which the CQA Plans place with the Principal. A day rate is offered in Attachment A if Council wants this in the CQA contract (RFI 2).</w:t>
      </w:r>
    </w:p>
    <w:p>
      <w:pPr>
        <w:pStyle w:val="ListBullet"/>
      </w:pPr>
      <w:r>
        <w:t>Out-of-hours, weekend or public holiday attendance (a variation at the contract rates under Part D 1.8).</w:t>
      </w:r>
    </w:p>
    <w:p>
      <w:pPr>
        <w:pStyle w:val="ListBullet"/>
      </w:pPr>
      <w:r>
        <w:t>Retesting after failed tests or repairs, and extra site days caused by the Contractor's delays, non-conformances or a program longer than assumed in Section 7, which are charged at the rates in Attachment A.</w:t>
      </w:r>
    </w:p>
    <w:p>
      <w:pPr>
        <w:pStyle w:val="ListBullet"/>
      </w:pPr>
      <w:r>
        <w:t>Construction survey and as-constructed survey drawings (by the Contractor's licensed surveyor). JCE's drone surfaces are CQA records, not a survey deliverable.</w:t>
      </w:r>
    </w:p>
    <w:p>
      <w:pPr>
        <w:pStyle w:val="ListBullet"/>
      </w:pPr>
      <w:r>
        <w:t>Design, design changes, approvals and EPA fees.</w:t>
      </w:r>
    </w:p>
    <w:p>
      <w:pPr>
        <w:pStyle w:val="Heading1"/>
        <w:pBdr>
          <w:bottom w:val="single" w:sz="6" w:space="1" w:color="C9A227"/>
        </w:pBdr>
      </w:pPr>
      <w:r>
        <w:t>13.0   Assumptions</w:t>
      </w:r>
    </w:p>
    <w:p>
      <w:pPr>
        <w:pStyle w:val="ListBullet"/>
      </w:pPr>
      <w:r>
        <w:t>Council provides the Contractor's approved program, ITPs and submittals, and the design consultant answers technical queries promptly.</w:t>
      </w:r>
    </w:p>
    <w:p>
      <w:pPr>
        <w:pStyle w:val="ListBullet"/>
      </w:pPr>
      <w:r>
        <w:t>Hold point notice of at least 24 hours, excluding weekends and public holidays.</w:t>
      </w:r>
    </w:p>
    <w:p>
      <w:pPr>
        <w:pStyle w:val="ListBullet"/>
      </w:pPr>
      <w:r>
        <w:t>The Contractor provides access, amenities, samples free of charge and test results promptly (Part D 1.10 and Council's answer of 06/10/2026).</w:t>
      </w:r>
    </w:p>
    <w:p>
      <w:pPr>
        <w:pStyle w:val="ListBullet"/>
      </w:pPr>
      <w:r>
        <w:t>Site meetings are fortnightly and may be attended online when JCE is not on site.</w:t>
      </w:r>
    </w:p>
    <w:p>
      <w:pPr>
        <w:pStyle w:val="ListBullet"/>
      </w:pPr>
      <w:r>
        <w:t>Construction runs for about 145 working days on Cell 3.1 and 80 working days on Monocell M1.1. Technician days beyond these are charged at the Attachment A day rate.</w:t>
      </w:r>
    </w:p>
    <w:p>
      <w:pPr>
        <w:pStyle w:val="ListBullet"/>
      </w:pPr>
      <w:r>
        <w:t>IQA test quantities follow the CQA Plan frequencies and the IFC quantities. Additional tests are charged at the laboratory schedule of rates plus 10%.</w:t>
      </w:r>
    </w:p>
    <w:p>
      <w:pPr>
        <w:pStyle w:val="Heading1"/>
        <w:pBdr>
          <w:bottom w:val="single" w:sz="6" w:space="1" w:color="C9A227"/>
        </w:pBdr>
      </w:pPr>
      <w:r>
        <w:t>14.0   Fee schedule</w:t>
      </w:r>
    </w:p>
    <w:p>
      <w:pPr>
        <w:keepNext/>
      </w:pPr>
      <w:r>
        <w:rPr>
          <w:i w:val="0"/>
        </w:rPr>
        <w:t>The price is set out line by line in the Part B2 Returnable Schedule, with JCE's hours by team member. In summary (excluding GST):</w:t>
      </w:r>
    </w:p>
    <w:tbl>
      <w:tblPr>
        <w:tblStyle w:val="TableGrid"/>
        <w:tblW w:type="dxa" w:w="9639"/>
        <w:jc w:val="center"/>
        <w:tblLayout w:type="fixed"/>
        <w:tblLook w:firstColumn="1" w:firstRow="1" w:lastColumn="0" w:lastRow="0" w:noHBand="0" w:noVBand="1" w:val="04A0"/>
        <w:tblLayout w:type="fixed"/>
      </w:tblPr>
      <w:tblGrid>
        <w:gridCol w:w="3175"/>
        <w:gridCol w:w="2154"/>
        <w:gridCol w:w="2154"/>
        <w:gridCol w:w="2154"/>
      </w:tblGrid>
      <w:tr>
        <w:trPr>
          <w:tblHeader/>
          <w:cantSplit/>
        </w:trPr>
        <w:tc>
          <w:tcPr>
            <w:tcW w:type="dxa" w:w="3175"/>
            <w:shd w:val="clear" w:color="auto" w:fill="C9A227"/>
          </w:tcPr>
          <w:p>
            <w:pPr>
              <w:keepNext/>
            </w:pPr>
            <w:r/>
            <w:r>
              <w:rPr>
                <w:b/>
                <w:color w:val="000000"/>
                <w:sz w:val="18"/>
              </w:rPr>
              <w:t>Portion</w:t>
            </w:r>
          </w:p>
        </w:tc>
        <w:tc>
          <w:tcPr>
            <w:tcW w:type="dxa" w:w="2154"/>
            <w:shd w:val="clear" w:color="auto" w:fill="C9A227"/>
          </w:tcPr>
          <w:p>
            <w:pPr>
              <w:keepNext/>
            </w:pPr>
            <w:r/>
            <w:r>
              <w:rPr>
                <w:b/>
                <w:color w:val="000000"/>
                <w:sz w:val="18"/>
              </w:rPr>
              <w:t>JCE lump sum</w:t>
            </w:r>
          </w:p>
        </w:tc>
        <w:tc>
          <w:tcPr>
            <w:tcW w:type="dxa" w:w="2154"/>
            <w:shd w:val="clear" w:color="auto" w:fill="C9A227"/>
          </w:tcPr>
          <w:p>
            <w:pPr>
              <w:keepNext/>
            </w:pPr>
            <w:r/>
            <w:r>
              <w:rPr>
                <w:b/>
                <w:color w:val="000000"/>
                <w:sz w:val="18"/>
              </w:rPr>
              <w:t>Provisional sums</w:t>
            </w:r>
          </w:p>
        </w:tc>
        <w:tc>
          <w:tcPr>
            <w:tcW w:type="dxa" w:w="2154"/>
            <w:shd w:val="clear" w:color="auto" w:fill="C9A227"/>
          </w:tcPr>
          <w:p>
            <w:pPr>
              <w:keepNext/>
            </w:pPr>
            <w:r/>
            <w:r>
              <w:rPr>
                <w:b/>
                <w:color w:val="000000"/>
                <w:sz w:val="18"/>
              </w:rPr>
              <w:t>Total (excl. GST)</w:t>
            </w:r>
          </w:p>
        </w:tc>
      </w:tr>
      <w:tr>
        <w:trPr>
          <w:cantSplit/>
        </w:trPr>
        <w:tc>
          <w:tcPr>
            <w:tcW w:type="dxa" w:w="3175"/>
          </w:tcPr>
          <w:p>
            <w:pPr>
              <w:keepNext/>
              <w:spacing w:after="20"/>
            </w:pPr>
            <w:r/>
            <w:r>
              <w:rPr>
                <w:sz w:val="18"/>
              </w:rPr>
              <w:t>Portion 1, Cell 3.1</w:t>
            </w:r>
          </w:p>
        </w:tc>
        <w:tc>
          <w:tcPr>
            <w:tcW w:type="dxa" w:w="2154"/>
          </w:tcPr>
          <w:p>
            <w:pPr>
              <w:keepNext/>
              <w:spacing w:after="20"/>
              <w:jc w:val="right"/>
            </w:pPr>
            <w:r/>
            <w:r>
              <w:rPr>
                <w:sz w:val="18"/>
              </w:rPr>
              <w:t>$137,096.80</w:t>
            </w:r>
          </w:p>
        </w:tc>
        <w:tc>
          <w:tcPr>
            <w:tcW w:type="dxa" w:w="2154"/>
          </w:tcPr>
          <w:p>
            <w:pPr>
              <w:keepNext/>
              <w:spacing w:after="20"/>
              <w:jc w:val="right"/>
            </w:pPr>
            <w:r/>
            <w:r>
              <w:rPr>
                <w:sz w:val="18"/>
              </w:rPr>
              <w:t>$312,950.00</w:t>
            </w:r>
          </w:p>
        </w:tc>
        <w:tc>
          <w:tcPr>
            <w:tcW w:type="dxa" w:w="2154"/>
          </w:tcPr>
          <w:p>
            <w:pPr>
              <w:keepNext/>
              <w:spacing w:after="20"/>
              <w:jc w:val="right"/>
            </w:pPr>
            <w:r/>
            <w:r>
              <w:rPr>
                <w:sz w:val="18"/>
              </w:rPr>
              <w:t>$450,046.80</w:t>
            </w:r>
          </w:p>
        </w:tc>
      </w:tr>
      <w:tr>
        <w:trPr>
          <w:cantSplit/>
        </w:trPr>
        <w:tc>
          <w:tcPr>
            <w:tcW w:type="dxa" w:w="3175"/>
          </w:tcPr>
          <w:p>
            <w:pPr>
              <w:keepNext/>
              <w:spacing w:after="20"/>
            </w:pPr>
            <w:r/>
            <w:r>
              <w:rPr>
                <w:sz w:val="18"/>
              </w:rPr>
              <w:t>Portion 2, Monocell M1.1</w:t>
            </w:r>
          </w:p>
        </w:tc>
        <w:tc>
          <w:tcPr>
            <w:tcW w:type="dxa" w:w="2154"/>
          </w:tcPr>
          <w:p>
            <w:pPr>
              <w:keepNext/>
              <w:spacing w:after="20"/>
              <w:jc w:val="right"/>
            </w:pPr>
            <w:r/>
            <w:r>
              <w:rPr>
                <w:sz w:val="18"/>
              </w:rPr>
              <w:t>$81,768.00</w:t>
            </w:r>
          </w:p>
        </w:tc>
        <w:tc>
          <w:tcPr>
            <w:tcW w:type="dxa" w:w="2154"/>
          </w:tcPr>
          <w:p>
            <w:pPr>
              <w:keepNext/>
              <w:spacing w:after="20"/>
              <w:jc w:val="right"/>
            </w:pPr>
            <w:r/>
            <w:r>
              <w:rPr>
                <w:sz w:val="18"/>
              </w:rPr>
              <w:t>$165,000.00</w:t>
            </w:r>
          </w:p>
        </w:tc>
        <w:tc>
          <w:tcPr>
            <w:tcW w:type="dxa" w:w="2154"/>
          </w:tcPr>
          <w:p>
            <w:pPr>
              <w:keepNext/>
              <w:spacing w:after="20"/>
              <w:jc w:val="right"/>
            </w:pPr>
            <w:r/>
            <w:r>
              <w:rPr>
                <w:sz w:val="18"/>
              </w:rPr>
              <w:t>$246,768.00</w:t>
            </w:r>
          </w:p>
        </w:tc>
      </w:tr>
      <w:tr>
        <w:trPr>
          <w:cantSplit/>
        </w:trPr>
        <w:tc>
          <w:tcPr>
            <w:tcW w:type="dxa" w:w="3175"/>
            <w:shd w:val="clear" w:color="auto" w:fill="F3EBCF"/>
          </w:tcPr>
          <w:p>
            <w:pPr>
              <w:keepNext/>
              <w:spacing w:after="20"/>
            </w:pPr>
            <w:r/>
            <w:r>
              <w:rPr>
                <w:b/>
                <w:sz w:val="18"/>
              </w:rPr>
              <w:t>Total (excl. GST)</w:t>
            </w:r>
          </w:p>
        </w:tc>
        <w:tc>
          <w:tcPr>
            <w:tcW w:type="dxa" w:w="2154"/>
            <w:shd w:val="clear" w:color="auto" w:fill="F3EBCF"/>
          </w:tcPr>
          <w:p>
            <w:pPr>
              <w:keepNext/>
              <w:spacing w:after="20"/>
              <w:jc w:val="right"/>
            </w:pPr>
            <w:r/>
            <w:r>
              <w:rPr>
                <w:b/>
                <w:sz w:val="18"/>
              </w:rPr>
              <w:t>$218,864.80</w:t>
            </w:r>
          </w:p>
        </w:tc>
        <w:tc>
          <w:tcPr>
            <w:tcW w:type="dxa" w:w="2154"/>
            <w:shd w:val="clear" w:color="auto" w:fill="F3EBCF"/>
          </w:tcPr>
          <w:p>
            <w:pPr>
              <w:keepNext/>
              <w:spacing w:after="20"/>
              <w:jc w:val="right"/>
            </w:pPr>
            <w:r/>
            <w:r>
              <w:rPr>
                <w:b/>
                <w:sz w:val="18"/>
              </w:rPr>
              <w:t>$477,950.00</w:t>
            </w:r>
          </w:p>
        </w:tc>
        <w:tc>
          <w:tcPr>
            <w:tcW w:type="dxa" w:w="2154"/>
            <w:shd w:val="clear" w:color="auto" w:fill="F3EBCF"/>
          </w:tcPr>
          <w:p>
            <w:pPr>
              <w:keepNext/>
              <w:spacing w:after="20"/>
              <w:jc w:val="right"/>
            </w:pPr>
            <w:r/>
            <w:r>
              <w:rPr>
                <w:b/>
                <w:sz w:val="18"/>
              </w:rPr>
              <w:t>$696,814.80</w:t>
            </w:r>
          </w:p>
        </w:tc>
      </w:tr>
      <w:tr>
        <w:trPr>
          <w:cantSplit/>
        </w:trPr>
        <w:tc>
          <w:tcPr>
            <w:tcW w:type="dxa" w:w="3175"/>
          </w:tcPr>
          <w:p>
            <w:pPr>
              <w:keepNext/>
              <w:spacing w:after="20"/>
            </w:pPr>
            <w:r/>
            <w:r>
              <w:rPr>
                <w:sz w:val="18"/>
              </w:rPr>
              <w:t>GST</w:t>
            </w:r>
          </w:p>
        </w:tc>
        <w:tc>
          <w:tcPr>
            <w:tcW w:type="dxa" w:w="2154"/>
          </w:tcPr>
          <w:p>
            <w:pPr>
              <w:keepNext/>
              <w:spacing w:after="20"/>
              <w:jc w:val="right"/>
            </w:pPr>
            <w:r/>
            <w:r>
              <w:rPr>
                <w:sz w:val="18"/>
              </w:rPr>
            </w:r>
          </w:p>
        </w:tc>
        <w:tc>
          <w:tcPr>
            <w:tcW w:type="dxa" w:w="2154"/>
          </w:tcPr>
          <w:p>
            <w:pPr>
              <w:keepNext/>
              <w:spacing w:after="20"/>
              <w:jc w:val="right"/>
            </w:pPr>
            <w:r/>
            <w:r>
              <w:rPr>
                <w:sz w:val="18"/>
              </w:rPr>
            </w:r>
          </w:p>
        </w:tc>
        <w:tc>
          <w:tcPr>
            <w:tcW w:type="dxa" w:w="2154"/>
          </w:tcPr>
          <w:p>
            <w:pPr>
              <w:keepNext/>
              <w:spacing w:after="20"/>
              <w:jc w:val="right"/>
            </w:pPr>
            <w:r/>
            <w:r>
              <w:rPr>
                <w:sz w:val="18"/>
              </w:rPr>
              <w:t>$69,681.48</w:t>
            </w:r>
          </w:p>
        </w:tc>
      </w:tr>
      <w:tr>
        <w:trPr>
          <w:cantSplit/>
        </w:trPr>
        <w:tc>
          <w:tcPr>
            <w:tcW w:type="dxa" w:w="3175"/>
            <w:shd w:val="clear" w:color="auto" w:fill="F3EBCF"/>
          </w:tcPr>
          <w:p>
            <w:pPr>
              <w:spacing w:after="20"/>
            </w:pPr>
            <w:r/>
            <w:r>
              <w:rPr>
                <w:b/>
                <w:sz w:val="18"/>
              </w:rPr>
              <w:t>Total (incl. GST)</w:t>
            </w:r>
          </w:p>
        </w:tc>
        <w:tc>
          <w:tcPr>
            <w:tcW w:type="dxa" w:w="2154"/>
            <w:shd w:val="clear" w:color="auto" w:fill="F3EBCF"/>
          </w:tcPr>
          <w:p>
            <w:pPr>
              <w:spacing w:after="20"/>
              <w:jc w:val="right"/>
            </w:pPr>
            <w:r/>
            <w:r>
              <w:rPr>
                <w:b/>
                <w:sz w:val="18"/>
              </w:rPr>
            </w:r>
          </w:p>
        </w:tc>
        <w:tc>
          <w:tcPr>
            <w:tcW w:type="dxa" w:w="2154"/>
            <w:shd w:val="clear" w:color="auto" w:fill="F3EBCF"/>
          </w:tcPr>
          <w:p>
            <w:pPr>
              <w:spacing w:after="20"/>
              <w:jc w:val="right"/>
            </w:pPr>
            <w:r/>
            <w:r>
              <w:rPr>
                <w:b/>
                <w:sz w:val="18"/>
              </w:rPr>
            </w:r>
          </w:p>
        </w:tc>
        <w:tc>
          <w:tcPr>
            <w:tcW w:type="dxa" w:w="2154"/>
            <w:shd w:val="clear" w:color="auto" w:fill="F3EBCF"/>
          </w:tcPr>
          <w:p>
            <w:pPr>
              <w:spacing w:after="20"/>
              <w:jc w:val="right"/>
            </w:pPr>
            <w:r/>
            <w:r>
              <w:rPr>
                <w:b/>
                <w:sz w:val="18"/>
              </w:rPr>
              <w:t>$766,496.28</w:t>
            </w:r>
          </w:p>
        </w:tc>
      </w:tr>
    </w:tbl>
    <w:p>
      <w:pPr>
        <w:spacing w:after="40"/>
      </w:pPr>
    </w:p>
    <w:p>
      <w:pPr>
        <w:keepNext/>
      </w:pPr>
      <w:r>
        <w:rPr>
          <w:i w:val="0"/>
        </w:rPr>
        <w:t>Provisional sums (included in the price above, each including JCE's 10% coordination margin):</w:t>
      </w:r>
    </w:p>
    <w:tbl>
      <w:tblPr>
        <w:tblStyle w:val="TableGrid"/>
        <w:tblW w:type="dxa" w:w="9639"/>
        <w:jc w:val="center"/>
        <w:tblLayout w:type="fixed"/>
        <w:tblLook w:firstColumn="1" w:firstRow="1" w:lastColumn="0" w:lastRow="0" w:noHBand="0" w:noVBand="1" w:val="04A0"/>
        <w:tblLayout w:type="fixed"/>
      </w:tblPr>
      <w:tblGrid>
        <w:gridCol w:w="737"/>
        <w:gridCol w:w="5726"/>
        <w:gridCol w:w="1587"/>
        <w:gridCol w:w="1587"/>
      </w:tblGrid>
      <w:tr>
        <w:trPr>
          <w:tblHeader/>
          <w:cantSplit/>
        </w:trPr>
        <w:tc>
          <w:tcPr>
            <w:tcW w:type="dxa" w:w="737"/>
            <w:shd w:val="clear" w:color="auto" w:fill="C9A227"/>
          </w:tcPr>
          <w:p>
            <w:pPr>
              <w:keepNext/>
            </w:pPr>
            <w:r/>
            <w:r>
              <w:rPr>
                <w:b/>
                <w:color w:val="000000"/>
                <w:sz w:val="17"/>
              </w:rPr>
              <w:t>Item</w:t>
            </w:r>
          </w:p>
        </w:tc>
        <w:tc>
          <w:tcPr>
            <w:tcW w:type="dxa" w:w="5726"/>
            <w:shd w:val="clear" w:color="auto" w:fill="C9A227"/>
          </w:tcPr>
          <w:p>
            <w:pPr>
              <w:keepNext/>
            </w:pPr>
            <w:r/>
            <w:r>
              <w:rPr>
                <w:b/>
                <w:color w:val="000000"/>
                <w:sz w:val="17"/>
              </w:rPr>
              <w:t>Description</w:t>
            </w:r>
          </w:p>
        </w:tc>
        <w:tc>
          <w:tcPr>
            <w:tcW w:type="dxa" w:w="1587"/>
            <w:shd w:val="clear" w:color="auto" w:fill="C9A227"/>
          </w:tcPr>
          <w:p>
            <w:pPr>
              <w:keepNext/>
            </w:pPr>
            <w:r/>
            <w:r>
              <w:rPr>
                <w:b/>
                <w:color w:val="000000"/>
                <w:sz w:val="17"/>
              </w:rPr>
              <w:t>Portion 1</w:t>
            </w:r>
          </w:p>
        </w:tc>
        <w:tc>
          <w:tcPr>
            <w:tcW w:type="dxa" w:w="1587"/>
            <w:shd w:val="clear" w:color="auto" w:fill="C9A227"/>
          </w:tcPr>
          <w:p>
            <w:pPr>
              <w:keepNext/>
            </w:pPr>
            <w:r/>
            <w:r>
              <w:rPr>
                <w:b/>
                <w:color w:val="000000"/>
                <w:sz w:val="17"/>
              </w:rPr>
              <w:t>Portion 2</w:t>
            </w:r>
          </w:p>
        </w:tc>
      </w:tr>
      <w:tr>
        <w:trPr>
          <w:cantSplit/>
        </w:trPr>
        <w:tc>
          <w:tcPr>
            <w:tcW w:type="dxa" w:w="737"/>
          </w:tcPr>
          <w:p>
            <w:pPr>
              <w:keepNext/>
              <w:spacing w:after="20"/>
            </w:pPr>
            <w:r/>
            <w:r>
              <w:rPr>
                <w:sz w:val="17"/>
              </w:rPr>
              <w:t>PS1</w:t>
            </w:r>
          </w:p>
        </w:tc>
        <w:tc>
          <w:tcPr>
            <w:tcW w:type="dxa" w:w="5726"/>
          </w:tcPr>
          <w:p>
            <w:pPr>
              <w:keepNext/>
              <w:spacing w:after="20"/>
            </w:pPr>
            <w:r/>
            <w:r>
              <w:rPr>
                <w:sz w:val="17"/>
              </w:rPr>
              <w:t>Partner resident CQA technician(s): full-time attendance during the geosynthetic lining works and at hold points (CQA Plans)</w:t>
            </w:r>
          </w:p>
        </w:tc>
        <w:tc>
          <w:tcPr>
            <w:tcW w:type="dxa" w:w="1587"/>
          </w:tcPr>
          <w:p>
            <w:pPr>
              <w:keepNext/>
              <w:spacing w:after="20"/>
              <w:jc w:val="right"/>
            </w:pPr>
            <w:r/>
            <w:r>
              <w:rPr>
                <w:sz w:val="17"/>
              </w:rPr>
              <w:t>$85,800.00</w:t>
            </w:r>
          </w:p>
        </w:tc>
        <w:tc>
          <w:tcPr>
            <w:tcW w:type="dxa" w:w="1587"/>
          </w:tcPr>
          <w:p>
            <w:pPr>
              <w:keepNext/>
              <w:spacing w:after="20"/>
              <w:jc w:val="right"/>
            </w:pPr>
            <w:r/>
            <w:r>
              <w:rPr>
                <w:sz w:val="17"/>
              </w:rPr>
              <w:t>$42,900.00</w:t>
            </w:r>
          </w:p>
        </w:tc>
      </w:tr>
      <w:tr>
        <w:trPr>
          <w:cantSplit/>
        </w:trPr>
        <w:tc>
          <w:tcPr>
            <w:tcW w:type="dxa" w:w="737"/>
          </w:tcPr>
          <w:p>
            <w:pPr>
              <w:keepNext/>
              <w:spacing w:after="20"/>
            </w:pPr>
            <w:r/>
            <w:r>
              <w:rPr>
                <w:sz w:val="17"/>
              </w:rPr>
              <w:t>PS2</w:t>
            </w:r>
          </w:p>
        </w:tc>
        <w:tc>
          <w:tcPr>
            <w:tcW w:type="dxa" w:w="5726"/>
          </w:tcPr>
          <w:p>
            <w:pPr>
              <w:keepNext/>
              <w:spacing w:after="20"/>
            </w:pPr>
            <w:r/>
            <w:r>
              <w:rPr>
                <w:sz w:val="17"/>
              </w:rPr>
              <w:t>Partner resident CQA technician(s): attendance during all other working hours of the works (Part D 1.13)</w:t>
            </w:r>
          </w:p>
        </w:tc>
        <w:tc>
          <w:tcPr>
            <w:tcW w:type="dxa" w:w="1587"/>
          </w:tcPr>
          <w:p>
            <w:pPr>
              <w:keepNext/>
              <w:spacing w:after="20"/>
              <w:jc w:val="right"/>
            </w:pPr>
            <w:r/>
            <w:r>
              <w:rPr>
                <w:sz w:val="17"/>
              </w:rPr>
              <w:t>$121,550.00</w:t>
            </w:r>
          </w:p>
        </w:tc>
        <w:tc>
          <w:tcPr>
            <w:tcW w:type="dxa" w:w="1587"/>
          </w:tcPr>
          <w:p>
            <w:pPr>
              <w:keepNext/>
              <w:spacing w:after="20"/>
              <w:jc w:val="right"/>
            </w:pPr>
            <w:r/>
            <w:r>
              <w:rPr>
                <w:sz w:val="17"/>
              </w:rPr>
              <w:t>$71,500.00</w:t>
            </w:r>
          </w:p>
        </w:tc>
      </w:tr>
      <w:tr>
        <w:trPr>
          <w:cantSplit/>
        </w:trPr>
        <w:tc>
          <w:tcPr>
            <w:tcW w:type="dxa" w:w="737"/>
          </w:tcPr>
          <w:p>
            <w:pPr>
              <w:keepNext/>
              <w:spacing w:after="20"/>
            </w:pPr>
            <w:r/>
            <w:r>
              <w:rPr>
                <w:sz w:val="17"/>
              </w:rPr>
              <w:t>PS3</w:t>
            </w:r>
          </w:p>
        </w:tc>
        <w:tc>
          <w:tcPr>
            <w:tcW w:type="dxa" w:w="5726"/>
          </w:tcPr>
          <w:p>
            <w:pPr>
              <w:keepNext/>
              <w:spacing w:after="20"/>
            </w:pPr>
            <w:r/>
            <w:r>
              <w:rPr>
                <w:sz w:val="17"/>
              </w:rPr>
              <w:t>Partner senior landfill CQA engineer: plan and records review, liner start-up attendance, technical advice, co-signing of the CQA report</w:t>
            </w:r>
          </w:p>
        </w:tc>
        <w:tc>
          <w:tcPr>
            <w:tcW w:type="dxa" w:w="1587"/>
          </w:tcPr>
          <w:p>
            <w:pPr>
              <w:keepNext/>
              <w:spacing w:after="20"/>
              <w:jc w:val="right"/>
            </w:pPr>
            <w:r/>
            <w:r>
              <w:rPr>
                <w:sz w:val="17"/>
              </w:rPr>
              <w:t>$13,200.00</w:t>
            </w:r>
          </w:p>
        </w:tc>
        <w:tc>
          <w:tcPr>
            <w:tcW w:type="dxa" w:w="1587"/>
          </w:tcPr>
          <w:p>
            <w:pPr>
              <w:keepNext/>
              <w:spacing w:after="20"/>
              <w:jc w:val="right"/>
            </w:pPr>
            <w:r/>
            <w:r>
              <w:rPr>
                <w:sz w:val="17"/>
              </w:rPr>
              <w:t>$7,700.00</w:t>
            </w:r>
          </w:p>
        </w:tc>
      </w:tr>
      <w:tr>
        <w:trPr>
          <w:cantSplit/>
        </w:trPr>
        <w:tc>
          <w:tcPr>
            <w:tcW w:type="dxa" w:w="737"/>
          </w:tcPr>
          <w:p>
            <w:pPr>
              <w:keepNext/>
              <w:spacing w:after="20"/>
            </w:pPr>
            <w:r/>
            <w:r>
              <w:rPr>
                <w:sz w:val="17"/>
              </w:rPr>
              <w:t>PS4</w:t>
            </w:r>
          </w:p>
        </w:tc>
        <w:tc>
          <w:tcPr>
            <w:tcW w:type="dxa" w:w="5726"/>
          </w:tcPr>
          <w:p>
            <w:pPr>
              <w:keepNext/>
              <w:spacing w:after="20"/>
            </w:pPr>
            <w:r/>
            <w:r>
              <w:rPr>
                <w:sz w:val="17"/>
              </w:rPr>
              <w:t>NATA IQA testing of soils and gravels, including sample transport (Wagga laboratory)</w:t>
            </w:r>
          </w:p>
        </w:tc>
        <w:tc>
          <w:tcPr>
            <w:tcW w:type="dxa" w:w="1587"/>
          </w:tcPr>
          <w:p>
            <w:pPr>
              <w:keepNext/>
              <w:spacing w:after="20"/>
              <w:jc w:val="right"/>
            </w:pPr>
            <w:r/>
            <w:r>
              <w:rPr>
                <w:sz w:val="17"/>
              </w:rPr>
              <w:t>$13,200.00</w:t>
            </w:r>
          </w:p>
        </w:tc>
        <w:tc>
          <w:tcPr>
            <w:tcW w:type="dxa" w:w="1587"/>
          </w:tcPr>
          <w:p>
            <w:pPr>
              <w:keepNext/>
              <w:spacing w:after="20"/>
              <w:jc w:val="right"/>
            </w:pPr>
            <w:r/>
            <w:r>
              <w:rPr>
                <w:sz w:val="17"/>
              </w:rPr>
              <w:t>$6,600.00</w:t>
            </w:r>
          </w:p>
        </w:tc>
      </w:tr>
      <w:tr>
        <w:trPr>
          <w:cantSplit/>
        </w:trPr>
        <w:tc>
          <w:tcPr>
            <w:tcW w:type="dxa" w:w="737"/>
          </w:tcPr>
          <w:p>
            <w:pPr>
              <w:keepNext/>
              <w:spacing w:after="20"/>
            </w:pPr>
            <w:r/>
            <w:r>
              <w:rPr>
                <w:sz w:val="17"/>
              </w:rPr>
              <w:t>PS5</w:t>
            </w:r>
          </w:p>
        </w:tc>
        <w:tc>
          <w:tcPr>
            <w:tcW w:type="dxa" w:w="5726"/>
          </w:tcPr>
          <w:p>
            <w:pPr>
              <w:keepNext/>
              <w:spacing w:after="20"/>
            </w:pPr>
            <w:r/>
            <w:r>
              <w:rPr>
                <w:sz w:val="17"/>
              </w:rPr>
              <w:t>NATA IQA testing of geosynthetics (GCL, HDPE, geotextiles, geocomposite)</w:t>
            </w:r>
          </w:p>
        </w:tc>
        <w:tc>
          <w:tcPr>
            <w:tcW w:type="dxa" w:w="1587"/>
          </w:tcPr>
          <w:p>
            <w:pPr>
              <w:keepNext/>
              <w:spacing w:after="20"/>
              <w:jc w:val="right"/>
            </w:pPr>
            <w:r/>
            <w:r>
              <w:rPr>
                <w:sz w:val="17"/>
              </w:rPr>
              <w:t>$30,800.00</w:t>
            </w:r>
          </w:p>
        </w:tc>
        <w:tc>
          <w:tcPr>
            <w:tcW w:type="dxa" w:w="1587"/>
          </w:tcPr>
          <w:p>
            <w:pPr>
              <w:keepNext/>
              <w:spacing w:after="20"/>
              <w:jc w:val="right"/>
            </w:pPr>
            <w:r/>
            <w:r>
              <w:rPr>
                <w:sz w:val="17"/>
              </w:rPr>
              <w:t>$15,400.00</w:t>
            </w:r>
          </w:p>
        </w:tc>
      </w:tr>
      <w:tr>
        <w:trPr>
          <w:cantSplit/>
        </w:trPr>
        <w:tc>
          <w:tcPr>
            <w:tcW w:type="dxa" w:w="737"/>
          </w:tcPr>
          <w:p>
            <w:pPr>
              <w:keepNext/>
              <w:spacing w:after="20"/>
            </w:pPr>
            <w:r/>
            <w:r>
              <w:rPr>
                <w:sz w:val="17"/>
              </w:rPr>
              <w:t>PS6</w:t>
            </w:r>
          </w:p>
        </w:tc>
        <w:tc>
          <w:tcPr>
            <w:tcW w:type="dxa" w:w="5726"/>
          </w:tcPr>
          <w:p>
            <w:pPr>
              <w:keepNext/>
              <w:spacing w:after="20"/>
            </w:pPr>
            <w:r/>
            <w:r>
              <w:rPr>
                <w:sz w:val="17"/>
              </w:rPr>
              <w:t>Liner integrity (electrical leak location) surveys, exposed liner and after the gravel drainage layer (subject to RFI 2)</w:t>
            </w:r>
          </w:p>
        </w:tc>
        <w:tc>
          <w:tcPr>
            <w:tcW w:type="dxa" w:w="1587"/>
          </w:tcPr>
          <w:p>
            <w:pPr>
              <w:keepNext/>
              <w:spacing w:after="20"/>
              <w:jc w:val="right"/>
            </w:pPr>
            <w:r/>
            <w:r>
              <w:rPr>
                <w:sz w:val="17"/>
              </w:rPr>
              <w:t>$41,800.00</w:t>
            </w:r>
          </w:p>
        </w:tc>
        <w:tc>
          <w:tcPr>
            <w:tcW w:type="dxa" w:w="1587"/>
          </w:tcPr>
          <w:p>
            <w:pPr>
              <w:keepNext/>
              <w:spacing w:after="20"/>
              <w:jc w:val="right"/>
            </w:pPr>
            <w:r/>
            <w:r>
              <w:rPr>
                <w:sz w:val="17"/>
              </w:rPr>
              <w:t>$17,600.00</w:t>
            </w:r>
          </w:p>
        </w:tc>
      </w:tr>
      <w:tr>
        <w:trPr>
          <w:cantSplit/>
        </w:trPr>
        <w:tc>
          <w:tcPr>
            <w:tcW w:type="dxa" w:w="737"/>
          </w:tcPr>
          <w:p>
            <w:pPr>
              <w:keepNext/>
              <w:spacing w:after="20"/>
            </w:pPr>
            <w:r/>
            <w:r>
              <w:rPr>
                <w:sz w:val="17"/>
              </w:rPr>
              <w:t>PS7</w:t>
            </w:r>
          </w:p>
        </w:tc>
        <w:tc>
          <w:tcPr>
            <w:tcW w:type="dxa" w:w="5726"/>
          </w:tcPr>
          <w:p>
            <w:pPr>
              <w:keepNext/>
              <w:spacing w:after="20"/>
            </w:pPr>
            <w:r/>
            <w:r>
              <w:rPr>
                <w:sz w:val="17"/>
              </w:rPr>
              <w:t>Independent check survey of Planes 1 to 3</w:t>
            </w:r>
          </w:p>
        </w:tc>
        <w:tc>
          <w:tcPr>
            <w:tcW w:type="dxa" w:w="1587"/>
          </w:tcPr>
          <w:p>
            <w:pPr>
              <w:keepNext/>
              <w:spacing w:after="20"/>
              <w:jc w:val="right"/>
            </w:pPr>
            <w:r/>
            <w:r>
              <w:rPr>
                <w:sz w:val="17"/>
              </w:rPr>
              <w:t>$6,600.00</w:t>
            </w:r>
          </w:p>
        </w:tc>
        <w:tc>
          <w:tcPr>
            <w:tcW w:type="dxa" w:w="1587"/>
          </w:tcPr>
          <w:p>
            <w:pPr>
              <w:keepNext/>
              <w:spacing w:after="20"/>
              <w:jc w:val="right"/>
            </w:pPr>
            <w:r/>
            <w:r>
              <w:rPr>
                <w:sz w:val="17"/>
              </w:rPr>
              <w:t>$3,300.00</w:t>
            </w:r>
          </w:p>
        </w:tc>
      </w:tr>
      <w:tr>
        <w:trPr>
          <w:cantSplit/>
        </w:trPr>
        <w:tc>
          <w:tcPr>
            <w:tcW w:type="dxa" w:w="737"/>
            <w:shd w:val="clear" w:color="auto" w:fill="F3EBCF"/>
          </w:tcPr>
          <w:p>
            <w:pPr>
              <w:spacing w:after="20"/>
            </w:pPr>
            <w:r/>
            <w:r>
              <w:rPr>
                <w:b/>
                <w:sz w:val="17"/>
              </w:rPr>
            </w:r>
          </w:p>
        </w:tc>
        <w:tc>
          <w:tcPr>
            <w:tcW w:type="dxa" w:w="5726"/>
            <w:shd w:val="clear" w:color="auto" w:fill="F3EBCF"/>
          </w:tcPr>
          <w:p>
            <w:pPr>
              <w:spacing w:after="20"/>
            </w:pPr>
            <w:r/>
            <w:r>
              <w:rPr>
                <w:b/>
                <w:sz w:val="17"/>
              </w:rPr>
              <w:t>Total provisional sums</w:t>
            </w:r>
          </w:p>
        </w:tc>
        <w:tc>
          <w:tcPr>
            <w:tcW w:type="dxa" w:w="1587"/>
            <w:shd w:val="clear" w:color="auto" w:fill="F3EBCF"/>
          </w:tcPr>
          <w:p>
            <w:pPr>
              <w:spacing w:after="20"/>
              <w:jc w:val="right"/>
            </w:pPr>
            <w:r/>
            <w:r>
              <w:rPr>
                <w:b/>
                <w:sz w:val="17"/>
              </w:rPr>
              <w:t>$312,950.00</w:t>
            </w:r>
          </w:p>
        </w:tc>
        <w:tc>
          <w:tcPr>
            <w:tcW w:type="dxa" w:w="1587"/>
            <w:shd w:val="clear" w:color="auto" w:fill="F3EBCF"/>
          </w:tcPr>
          <w:p>
            <w:pPr>
              <w:spacing w:after="20"/>
              <w:jc w:val="right"/>
            </w:pPr>
            <w:r/>
            <w:r>
              <w:rPr>
                <w:b/>
                <w:sz w:val="17"/>
              </w:rPr>
              <w:t>$165,000.00</w:t>
            </w:r>
          </w:p>
        </w:tc>
      </w:tr>
    </w:tbl>
    <w:p>
      <w:pPr>
        <w:spacing w:after="40"/>
      </w:pPr>
    </w:p>
    <w:p>
      <w:r>
        <w:rPr>
          <w:i w:val="0"/>
        </w:rPr>
        <w:t>Provisional sums are claimed monthly to the extent used, at the rates in Attachment A, and amounts not used are not claimed. PS1 and PS2 assume 145 and 80 technician days at $1,300 per day; PS2 is the cost of full-time presence outside the lining works under Part D 1.13 and can be removed if Council confirms RFI 1 that it is not required. [Before lodgement, replace the PS allowances with the quoted prices due 23/10/2026 - Jayden.]</w:t>
      </w:r>
    </w:p>
    <w:p>
      <w:r>
        <w:rPr>
          <w:i w:val="0"/>
        </w:rPr>
        <w:t>JCE's lump sum covers 13 return trips from Gunnedah, 22 site days by Jayden, all office review, reporting and certification, travel, accommodation and vehicle costs. Variations are charged at the rates in Attachment A.</w:t>
      </w:r>
    </w:p>
    <w:p>
      <w:pPr>
        <w:pStyle w:val="Heading1"/>
        <w:pBdr>
          <w:bottom w:val="single" w:sz="6" w:space="1" w:color="C9A227"/>
        </w:pBdr>
      </w:pPr>
      <w:r>
        <w:t>15.0   Payment</w:t>
      </w:r>
    </w:p>
    <w:p>
      <w:r>
        <w:rPr>
          <w:i w:val="0"/>
        </w:rPr>
        <w:t>Monthly claims in arrears for work completed and verified (Annexure Item 8), against the Part B2 line items and the progress of the works, with the supporting documents Part A 6.1 requires.</w:t>
      </w:r>
    </w:p>
    <w:p>
      <w:pPr>
        <w:pStyle w:val="Heading1"/>
        <w:pBdr>
          <w:bottom w:val="single" w:sz="6" w:space="1" w:color="C9A227"/>
        </w:pBdr>
      </w:pPr>
      <w:r>
        <w:t>16.0   Insurance</w:t>
      </w:r>
    </w:p>
    <w:p>
      <w:pPr>
        <w:pStyle w:val="ListBullet"/>
      </w:pPr>
      <w:r>
        <w:t>Professional indemnity: $10 million any one claim and $20 million in the aggregate, current to 02/07/2027, which meets Part A 5.10.4 ($2 million) and Annexure Item 26 ($10 million). JCE will maintain it for six years after completion.</w:t>
      </w:r>
    </w:p>
    <w:p>
      <w:pPr>
        <w:pStyle w:val="ListBullet"/>
      </w:pPr>
      <w:r>
        <w:t>Public and products liability: JCE holds $10 million and will lift it to $20 million, extended to products liability, on award (Part A 5.10.1 and Annexure Item 25).</w:t>
      </w:r>
    </w:p>
    <w:p>
      <w:pPr>
        <w:pStyle w:val="ListBullet"/>
      </w:pPr>
      <w:r>
        <w:t>Motor vehicle: [TBC - Jayden: confirm third-party property cover of $20 million with the Principal noted (Part A 5.10.2), or list in Form 9].</w:t>
      </w:r>
    </w:p>
    <w:p>
      <w:pPr>
        <w:pStyle w:val="ListBullet"/>
      </w:pPr>
      <w:r>
        <w:t>Insurance of employees: [TBC - Jayden: JCE has no employees at the date of this proposal; confirm the icare position or personal accident cover].</w:t>
      </w:r>
    </w:p>
    <w:p>
      <w:pPr>
        <w:pStyle w:val="ListBullet"/>
      </w:pPr>
      <w:r>
        <w:t>Sub-consultants will hold the same levels of public liability and motor vehicle cover and professional indemnity of at least $2 million; certificates will be provided before they start work.</w:t>
      </w:r>
    </w:p>
    <w:p>
      <w:pPr>
        <w:pStyle w:val="Heading1"/>
        <w:pBdr>
          <w:bottom w:val="single" w:sz="6" w:space="1" w:color="C9A227"/>
        </w:pBdr>
      </w:pPr>
      <w:r>
        <w:t>17.0   Commercial basis</w:t>
      </w:r>
    </w:p>
    <w:p>
      <w:r>
        <w:rPr>
          <w:i w:val="0"/>
        </w:rPr>
        <w:t>JCE offers to provide the services under AS 4122-2010 with Council's Annexure (Part C), including the $2 million limit of liability (Item 24), the intellectual property clause in Annexure Part B and payment within 30 business days. The qualifications in Form 9 are limited to the provisional sum basis in Section 14 [and motor vehicle insurance, if not resolved - Jayden]. The offer remains open for 90 days from the close of tenders (Part A 4.1.2).</w:t>
      </w:r>
    </w:p>
    <w:p>
      <w:pPr>
        <w:keepNext/>
      </w:pPr>
      <w:r>
        <w:rPr>
          <w:i w:val="0"/>
        </w:rPr>
        <w:t>Please contact me on 0477 207 027 with any questions.</w:t>
      </w:r>
    </w:p>
    <w:p>
      <w:pPr>
        <w:keepNext/>
      </w:pPr>
      <w:r>
        <w:rPr>
          <w:sz w:val="20"/>
        </w:rPr>
        <w:t>Yours faithfully,</w:t>
      </w:r>
    </w:p>
    <w:tbl>
      <w:tblPr>
        <w:tblStyle w:val="TableGrid"/>
        <w:tblW w:type="dxa" w:w="9639"/>
        <w:tblLayout w:type="fixed"/>
        <w:tblLook w:firstColumn="1" w:firstRow="1" w:lastColumn="0" w:lastRow="0" w:noHBand="0" w:noVBand="1" w:val="04A0"/>
        <w:tblLayout w:type="fixed"/>
      </w:tblPr>
      <w:tblGrid>
        <w:gridCol w:w="9639"/>
      </w:tblGrid>
      <w:tr>
        <w:trPr>
          <w:cantSplit/>
        </w:trPr>
        <w:tc>
          <w:tcPr>
            <w:tcW w:type="dxa" w:w="9638"/>
            <w:shd w:val="clear" w:color="auto" w:fill="FAF6EA"/>
          </w:tcPr>
          <w:p>
            <w:pPr>
              <w:keepNext/>
              <w:spacing w:after="40"/>
            </w:pPr>
            <w:r/>
            <w:r>
              <w:rPr>
                <w:b/>
                <w:sz w:val="19"/>
              </w:rPr>
              <w:t>OFFERED BY</w:t>
            </w:r>
          </w:p>
          <w:p>
            <w:pPr>
              <w:keepNext/>
              <w:spacing w:after="40"/>
            </w:pPr>
            <w:r>
              <w:rPr>
                <w:b w:val="0"/>
                <w:sz w:val="19"/>
              </w:rPr>
              <w:t>[signature]</w:t>
            </w:r>
          </w:p>
          <w:p>
            <w:pPr>
              <w:keepNext/>
              <w:spacing w:after="40"/>
            </w:pPr>
            <w:r>
              <w:rPr>
                <w:b w:val="0"/>
                <w:sz w:val="19"/>
              </w:rPr>
            </w:r>
          </w:p>
          <w:p>
            <w:pPr>
              <w:keepNext/>
              <w:spacing w:after="40"/>
            </w:pPr>
            <w:r>
              <w:rPr>
                <w:b/>
                <w:sz w:val="19"/>
              </w:rPr>
              <w:t>Jayden Callen, Director</w:t>
            </w:r>
          </w:p>
          <w:p>
            <w:pPr>
              <w:keepNext/>
              <w:spacing w:after="40"/>
            </w:pPr>
            <w:r>
              <w:rPr>
                <w:b w:val="0"/>
                <w:sz w:val="19"/>
              </w:rPr>
              <w:t>JCE Infrastructure Pty Ltd   ·   ABN 29 699 165 663</w:t>
            </w:r>
          </w:p>
          <w:p>
            <w:pPr>
              <w:keepNext/>
              <w:spacing w:after="40"/>
            </w:pPr>
            <w:r>
              <w:rPr>
                <w:b w:val="0"/>
                <w:sz w:val="19"/>
              </w:rPr>
              <w:t>BEng (Civil)(Hons), MIEAust   ·   0477 207 027   ·   jayden@jceinfrastructure.com.au</w:t>
            </w:r>
          </w:p>
          <w:p>
            <w:pPr>
              <w:keepNext/>
              <w:spacing w:after="40"/>
            </w:pPr>
            <w:r>
              <w:rPr>
                <w:b w:val="0"/>
                <w:sz w:val="19"/>
              </w:rPr>
              <w:t>Date: ____ / ____ / 2026</w:t>
            </w:r>
          </w:p>
        </w:tc>
      </w:tr>
    </w:tbl>
    <w:p>
      <w:r>
        <w:br w:type="page"/>
      </w:r>
    </w:p>
    <w:p>
      <w:pPr>
        <w:pStyle w:val="Heading1"/>
        <w:pBdr>
          <w:bottom w:val="single" w:sz="6" w:space="1" w:color="C9A227"/>
        </w:pBdr>
      </w:pPr>
      <w:r>
        <w:t>Attachment A   Schedule of rates</w:t>
      </w:r>
    </w:p>
    <w:p>
      <w:r>
        <w:rPr>
          <w:i w:val="0"/>
        </w:rPr>
        <w:t>Applies to variations, additional services and provisional sums. Rates exclude GST and are fixed for the contract period.</w:t>
      </w:r>
    </w:p>
    <w:tbl>
      <w:tblPr>
        <w:tblStyle w:val="TableGrid"/>
        <w:tblW w:type="dxa" w:w="9639"/>
        <w:jc w:val="center"/>
        <w:tblLayout w:type="fixed"/>
        <w:tblLook w:firstColumn="1" w:firstRow="1" w:lastColumn="0" w:lastRow="0" w:noHBand="0" w:noVBand="1" w:val="04A0"/>
        <w:tblLayout w:type="fixed"/>
      </w:tblPr>
      <w:tblGrid>
        <w:gridCol w:w="6520"/>
        <w:gridCol w:w="3118"/>
      </w:tblGrid>
      <w:tr>
        <w:trPr>
          <w:tblHeader/>
          <w:cantSplit/>
        </w:trPr>
        <w:tc>
          <w:tcPr>
            <w:tcW w:type="dxa" w:w="6520"/>
            <w:shd w:val="clear" w:color="auto" w:fill="C9A227"/>
          </w:tcPr>
          <w:p>
            <w:r/>
            <w:r>
              <w:rPr>
                <w:b/>
                <w:color w:val="000000"/>
                <w:sz w:val="18"/>
              </w:rPr>
              <w:t>Role or item</w:t>
            </w:r>
          </w:p>
        </w:tc>
        <w:tc>
          <w:tcPr>
            <w:tcW w:type="dxa" w:w="3118"/>
            <w:shd w:val="clear" w:color="auto" w:fill="C9A227"/>
          </w:tcPr>
          <w:p>
            <w:r/>
            <w:r>
              <w:rPr>
                <w:b/>
                <w:color w:val="000000"/>
                <w:sz w:val="18"/>
              </w:rPr>
              <w:t>Rate (excl. GST)</w:t>
            </w:r>
          </w:p>
        </w:tc>
      </w:tr>
      <w:tr>
        <w:trPr>
          <w:cantSplit/>
        </w:trPr>
        <w:tc>
          <w:tcPr>
            <w:tcW w:type="dxa" w:w="6520"/>
          </w:tcPr>
          <w:p>
            <w:pPr>
              <w:spacing w:after="20"/>
            </w:pPr>
            <w:r/>
            <w:r>
              <w:rPr>
                <w:sz w:val="18"/>
              </w:rPr>
              <w:t>Director / CQA Engineer of record (review, certification)</w:t>
            </w:r>
          </w:p>
        </w:tc>
        <w:tc>
          <w:tcPr>
            <w:tcW w:type="dxa" w:w="3118"/>
          </w:tcPr>
          <w:p>
            <w:pPr>
              <w:spacing w:after="20"/>
            </w:pPr>
            <w:r/>
            <w:r>
              <w:rPr>
                <w:sz w:val="18"/>
              </w:rPr>
              <w:t>$200 / hr</w:t>
            </w:r>
          </w:p>
        </w:tc>
      </w:tr>
      <w:tr>
        <w:trPr>
          <w:cantSplit/>
        </w:trPr>
        <w:tc>
          <w:tcPr>
            <w:tcW w:type="dxa" w:w="6520"/>
          </w:tcPr>
          <w:p>
            <w:pPr>
              <w:spacing w:after="20"/>
            </w:pPr>
            <w:r/>
            <w:r>
              <w:rPr>
                <w:sz w:val="18"/>
              </w:rPr>
              <w:t>Lead CQA Engineer (site and office)</w:t>
            </w:r>
          </w:p>
        </w:tc>
        <w:tc>
          <w:tcPr>
            <w:tcW w:type="dxa" w:w="3118"/>
          </w:tcPr>
          <w:p>
            <w:pPr>
              <w:spacing w:after="20"/>
            </w:pPr>
            <w:r/>
            <w:r>
              <w:rPr>
                <w:sz w:val="18"/>
              </w:rPr>
              <w:t>$190 / hr</w:t>
            </w:r>
          </w:p>
        </w:tc>
      </w:tr>
      <w:tr>
        <w:trPr>
          <w:cantSplit/>
        </w:trPr>
        <w:tc>
          <w:tcPr>
            <w:tcW w:type="dxa" w:w="6520"/>
          </w:tcPr>
          <w:p>
            <w:pPr>
              <w:spacing w:after="20"/>
            </w:pPr>
            <w:r/>
            <w:r>
              <w:rPr>
                <w:sz w:val="18"/>
              </w:rPr>
              <w:t>Project engineer / records / travel time</w:t>
            </w:r>
          </w:p>
        </w:tc>
        <w:tc>
          <w:tcPr>
            <w:tcW w:type="dxa" w:w="3118"/>
          </w:tcPr>
          <w:p>
            <w:pPr>
              <w:spacing w:after="20"/>
            </w:pPr>
            <w:r/>
            <w:r>
              <w:rPr>
                <w:sz w:val="18"/>
              </w:rPr>
              <w:t>$180 / hr</w:t>
            </w:r>
          </w:p>
        </w:tc>
      </w:tr>
      <w:tr>
        <w:trPr>
          <w:cantSplit/>
        </w:trPr>
        <w:tc>
          <w:tcPr>
            <w:tcW w:type="dxa" w:w="6520"/>
          </w:tcPr>
          <w:p>
            <w:pPr>
              <w:spacing w:after="20"/>
            </w:pPr>
            <w:r/>
            <w:r>
              <w:rPr>
                <w:sz w:val="18"/>
              </w:rPr>
              <w:t>Site day, Lead CQA Engineer (10 hours on site)</w:t>
            </w:r>
          </w:p>
        </w:tc>
        <w:tc>
          <w:tcPr>
            <w:tcW w:type="dxa" w:w="3118"/>
          </w:tcPr>
          <w:p>
            <w:pPr>
              <w:spacing w:after="20"/>
            </w:pPr>
            <w:r/>
            <w:r>
              <w:rPr>
                <w:sz w:val="18"/>
              </w:rPr>
              <w:t>$1,900 / day</w:t>
            </w:r>
          </w:p>
        </w:tc>
      </w:tr>
      <w:tr>
        <w:trPr>
          <w:cantSplit/>
        </w:trPr>
        <w:tc>
          <w:tcPr>
            <w:tcW w:type="dxa" w:w="6520"/>
          </w:tcPr>
          <w:p>
            <w:pPr>
              <w:spacing w:after="20"/>
            </w:pPr>
            <w:r/>
            <w:r>
              <w:rPr>
                <w:sz w:val="18"/>
              </w:rPr>
              <w:t>Partner resident CQA technician, 10-hour day (allowance, TBC from quote)</w:t>
            </w:r>
          </w:p>
        </w:tc>
        <w:tc>
          <w:tcPr>
            <w:tcW w:type="dxa" w:w="3118"/>
          </w:tcPr>
          <w:p>
            <w:pPr>
              <w:spacing w:after="20"/>
            </w:pPr>
            <w:r/>
            <w:r>
              <w:rPr>
                <w:sz w:val="18"/>
              </w:rPr>
              <w:t>$1,430 / day (incl. 10% margin)</w:t>
            </w:r>
          </w:p>
        </w:tc>
      </w:tr>
      <w:tr>
        <w:trPr>
          <w:cantSplit/>
        </w:trPr>
        <w:tc>
          <w:tcPr>
            <w:tcW w:type="dxa" w:w="6520"/>
          </w:tcPr>
          <w:p>
            <w:pPr>
              <w:spacing w:after="20"/>
            </w:pPr>
            <w:r/>
            <w:r>
              <w:rPr>
                <w:sz w:val="18"/>
              </w:rPr>
              <w:t>Optional: GITA Level 1 engineered fill inspection and testing (RFI 2)</w:t>
            </w:r>
          </w:p>
        </w:tc>
        <w:tc>
          <w:tcPr>
            <w:tcW w:type="dxa" w:w="3118"/>
          </w:tcPr>
          <w:p>
            <w:pPr>
              <w:spacing w:after="20"/>
            </w:pPr>
            <w:r/>
            <w:r>
              <w:rPr>
                <w:sz w:val="18"/>
              </w:rPr>
              <w:t>[Partner day rate TBC from quote] + 10%</w:t>
            </w:r>
          </w:p>
        </w:tc>
      </w:tr>
      <w:tr>
        <w:trPr>
          <w:cantSplit/>
        </w:trPr>
        <w:tc>
          <w:tcPr>
            <w:tcW w:type="dxa" w:w="6520"/>
          </w:tcPr>
          <w:p>
            <w:pPr>
              <w:spacing w:after="20"/>
            </w:pPr>
            <w:r/>
            <w:r>
              <w:rPr>
                <w:sz w:val="18"/>
              </w:rPr>
              <w:t>Accommodation and meals when away from base</w:t>
            </w:r>
          </w:p>
        </w:tc>
        <w:tc>
          <w:tcPr>
            <w:tcW w:type="dxa" w:w="3118"/>
          </w:tcPr>
          <w:p>
            <w:pPr>
              <w:spacing w:after="20"/>
            </w:pPr>
            <w:r/>
            <w:r>
              <w:rPr>
                <w:sz w:val="18"/>
              </w:rPr>
              <w:t>$280 / night</w:t>
            </w:r>
          </w:p>
        </w:tc>
      </w:tr>
      <w:tr>
        <w:trPr>
          <w:cantSplit/>
        </w:trPr>
        <w:tc>
          <w:tcPr>
            <w:tcW w:type="dxa" w:w="6520"/>
          </w:tcPr>
          <w:p>
            <w:pPr>
              <w:spacing w:after="20"/>
            </w:pPr>
            <w:r/>
            <w:r>
              <w:rPr>
                <w:sz w:val="18"/>
              </w:rPr>
              <w:t>Vehicle</w:t>
            </w:r>
          </w:p>
        </w:tc>
        <w:tc>
          <w:tcPr>
            <w:tcW w:type="dxa" w:w="3118"/>
          </w:tcPr>
          <w:p>
            <w:pPr>
              <w:spacing w:after="20"/>
            </w:pPr>
            <w:r/>
            <w:r>
              <w:rPr>
                <w:sz w:val="18"/>
              </w:rPr>
              <w:t>$0.96 / km</w:t>
            </w:r>
          </w:p>
        </w:tc>
      </w:tr>
      <w:tr>
        <w:trPr>
          <w:cantSplit/>
        </w:trPr>
        <w:tc>
          <w:tcPr>
            <w:tcW w:type="dxa" w:w="6520"/>
          </w:tcPr>
          <w:p>
            <w:pPr>
              <w:spacing w:after="20"/>
            </w:pPr>
            <w:r/>
            <w:r>
              <w:rPr>
                <w:sz w:val="18"/>
              </w:rPr>
              <w:t>Sub-consultants and laboratory testing</w:t>
            </w:r>
          </w:p>
        </w:tc>
        <w:tc>
          <w:tcPr>
            <w:tcW w:type="dxa" w:w="3118"/>
          </w:tcPr>
          <w:p>
            <w:pPr>
              <w:spacing w:after="20"/>
            </w:pPr>
            <w:r/>
            <w:r>
              <w:rPr>
                <w:sz w:val="18"/>
              </w:rPr>
              <w:t>Cost + 10%</w:t>
            </w:r>
          </w:p>
        </w:tc>
      </w:tr>
    </w:tbl>
    <w:p>
      <w:pPr>
        <w:spacing w:after="40"/>
      </w:pP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6" w:space="1" w:color="C9A227"/>
      </w:pBdr>
    </w:pPr>
    <w:r>
      <w:rPr>
        <w:color w:val="555555"/>
        <w:sz w:val="16"/>
      </w:rPr>
      <w:t xml:space="preserve">JCE Infrastructure Pty Ltd   |   RFT CT2027005 GWMC CQA Engineer   |   Fee proposal Rev G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i w:val="0"/>
      <w:color w:val="C9A227"/>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i w:val="0"/>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