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with high-resolution aerial stills and video, giving a geotagged orthophoto, 3D model and defect photographs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High-resolution aerial stills and video of the levee corridor (existing-condition and defect records, and community presentation imagery) are supplied with deliverables 2 and 4. 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Relevant experience.</w:t>
      </w:r>
      <w:r>
        <w:rPr/>
        <w:t xml:space="preserve"> Jayden Callen (while at Langtrees): Floodway rectification, Tablelands Regional Council (QLD): engineering for the rectification of a floodway on Council's road network. Referee: Darren Quilliam, Tablelands Regional Council (contact details available on request). RAAF Base Townsville, Defence delivery project: engineering delivery for CPB Contractors (head contractor). Referee: Maverick Partner, CPB Contractors (contact details available on request).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While at Langtrees: Floodway rectification, Tablelands Regional Council (QLD): engineering for the rectification of a floodway on Council's road network. RAAF Base Townsville, Defence delivery project: engineering delivery for CPB Contractors (head contractor). Stormwater and flooding with DRAINS, MUSIC X and flood impact assessment to ARR 2019; engineer's estimates and bills of quantities; Civil 3D, InfraWorks and Navisworks. Drone photogrammetry on previous projects: automated flight paths in DroneDeploy, RTK-positioned capture and high-resolution aerial stills and video,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