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7"/>
        </w:rPr>
        <w:t>Civil and Hydraulic Engineering   |   ABN 29 699 165 663</w:t>
      </w:r>
    </w:p>
    <w:p>
      <w:pPr>
        <w:pBdr>
          <w:bottom w:val="single" w:sz="12" w:space="1" w:color="C9A227"/>
        </w:pBdr>
        <w:spacing w:after="200"/>
      </w:pPr>
      <w:r>
        <w:rPr>
          <w:color w:val="595959"/>
          <w:sz w:val="17"/>
        </w:rPr>
        <w:t>756 Quia Road, Gunnedah NSW 2380   |   0477 207 027   |   jayden@jceinfrastructure.com.au   |   jceinfrastructure.com.au</w:t>
      </w:r>
    </w:p>
    <w:p>
      <w:pPr>
        <w:spacing w:after="40"/>
      </w:pPr>
      <w:r>
        <w:rPr>
          <w:b/>
          <w:color w:val="C9A227"/>
          <w:sz w:val="18"/>
        </w:rPr>
        <w:t>FEE PROPOSAL</w:t>
      </w:r>
    </w:p>
    <w:p>
      <w:pPr>
        <w:spacing w:after="40"/>
      </w:pPr>
      <w:r>
        <w:rPr>
          <w:b/>
          <w:sz w:val="30"/>
        </w:rPr>
        <w:t>Transport Assets Condition Audit and Revaluations 2026/27</w:t>
      </w:r>
    </w:p>
    <w:p>
      <w:r>
        <w:rPr>
          <w:color w:val="595959"/>
          <w:sz w:val="20"/>
        </w:rPr>
        <w:t>Prepared for Inner West Council  |  RFT 47-26 (VendorPanel VP527819)</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Proposal no.</w:t>
            </w:r>
          </w:p>
        </w:tc>
        <w:tc>
          <w:tcPr>
            <w:tcW w:type="dxa" w:w="6626"/>
          </w:tcPr>
          <w:p>
            <w:pPr>
              <w:spacing w:after="20"/>
            </w:pPr>
            <w:r/>
            <w:r>
              <w:rPr>
                <w:sz w:val="18"/>
              </w:rPr>
              <w:t xml:space="preserve">FP-017 (VP527819)</w:t>
            </w:r>
          </w:p>
        </w:tc>
      </w:tr>
      <w:tr>
        <w:trPr>
          <w:cantSplit/>
        </w:trPr>
        <w:tc>
          <w:tcPr>
            <w:tcW w:type="dxa" w:w="3012"/>
            <w:shd w:val="clear" w:color="auto" w:fill="F3E9C6"/>
          </w:tcPr>
          <w:p>
            <w:r/>
            <w:r>
              <w:rPr>
                <w:b/>
                <w:sz w:val="18"/>
              </w:rPr>
              <w:t>Client</w:t>
            </w:r>
          </w:p>
        </w:tc>
        <w:tc>
          <w:tcPr>
            <w:tcW w:type="dxa" w:w="6626"/>
          </w:tcPr>
          <w:p>
            <w:pPr>
              <w:spacing w:after="20"/>
            </w:pPr>
            <w:r/>
            <w:r>
              <w:rPr>
                <w:sz w:val="18"/>
              </w:rPr>
              <w:t>Inner West Council, 7-15 Wetherill Street, Leichhardt NSW 2040</w:t>
            </w:r>
          </w:p>
        </w:tc>
      </w:tr>
      <w:tr>
        <w:trPr>
          <w:cantSplit/>
        </w:trPr>
        <w:tc>
          <w:tcPr>
            <w:tcW w:type="dxa" w:w="3012"/>
            <w:shd w:val="clear" w:color="auto" w:fill="F3E9C6"/>
          </w:tcPr>
          <w:p>
            <w:r/>
            <w:r>
              <w:rPr>
                <w:b/>
                <w:sz w:val="18"/>
              </w:rPr>
              <w:t>Contact person</w:t>
            </w:r>
          </w:p>
        </w:tc>
        <w:tc>
          <w:tcPr>
            <w:tcW w:type="dxa" w:w="6626"/>
          </w:tcPr>
          <w:p>
            <w:pPr>
              <w:spacing w:after="20"/>
            </w:pPr>
            <w:r/>
            <w:r>
              <w:rPr>
                <w:sz w:val="18"/>
              </w:rPr>
              <w:t>Frank Tambosis (enquiries through the VendorPanel forum)</w:t>
            </w:r>
          </w:p>
        </w:tc>
      </w:tr>
      <w:tr>
        <w:trPr>
          <w:cantSplit/>
        </w:trPr>
        <w:tc>
          <w:tcPr>
            <w:tcW w:type="dxa" w:w="3012"/>
            <w:shd w:val="clear" w:color="auto" w:fill="F3E9C6"/>
          </w:tcPr>
          <w:p>
            <w:r/>
            <w:r>
              <w:rPr>
                <w:b/>
                <w:sz w:val="18"/>
              </w:rPr>
              <w:t>Tender</w:t>
            </w:r>
          </w:p>
        </w:tc>
        <w:tc>
          <w:tcPr>
            <w:tcW w:type="dxa" w:w="6626"/>
          </w:tcPr>
          <w:p>
            <w:pPr>
              <w:spacing w:after="20"/>
            </w:pPr>
            <w:r/>
            <w:r>
              <w:rPr>
                <w:sz w:val="18"/>
              </w:rPr>
              <w:t>RFT 47-26 Transport Assets Condition Audit &amp; Revaluations 2026/27 (VendorPanel VP527819)</w:t>
            </w:r>
          </w:p>
        </w:tc>
      </w:tr>
      <w:tr>
        <w:trPr>
          <w:cantSplit/>
        </w:trPr>
        <w:tc>
          <w:tcPr>
            <w:tcW w:type="dxa" w:w="3012"/>
            <w:shd w:val="clear" w:color="auto" w:fill="F3E9C6"/>
          </w:tcPr>
          <w:p>
            <w:r/>
            <w:r>
              <w:rPr>
                <w:b/>
                <w:sz w:val="18"/>
              </w:rPr>
              <w:t>Site</w:t>
            </w:r>
          </w:p>
        </w:tc>
        <w:tc>
          <w:tcPr>
            <w:tcW w:type="dxa" w:w="6626"/>
          </w:tcPr>
          <w:p>
            <w:pPr>
              <w:spacing w:after="20"/>
            </w:pPr>
            <w:r/>
            <w:r>
              <w:rPr>
                <w:sz w:val="18"/>
              </w:rPr>
              <w:t>Various locations in the Inner West local government area, NSW</w:t>
            </w:r>
          </w:p>
        </w:tc>
      </w:tr>
      <w:tr>
        <w:trPr>
          <w:cantSplit/>
        </w:trPr>
        <w:tc>
          <w:tcPr>
            <w:tcW w:type="dxa" w:w="3012"/>
            <w:shd w:val="clear" w:color="auto" w:fill="F3E9C6"/>
          </w:tcPr>
          <w:p>
            <w:r/>
            <w:r>
              <w:rPr>
                <w:b/>
                <w:sz w:val="18"/>
              </w:rPr>
              <w:t>Date</w:t>
            </w:r>
          </w:p>
        </w:tc>
        <w:tc>
          <w:tcPr>
            <w:tcW w:type="dxa" w:w="6626"/>
          </w:tcPr>
          <w:p>
            <w:pPr>
              <w:spacing w:after="20"/>
            </w:pPr>
            <w:r/>
            <w:r>
              <w:rPr>
                <w:sz w:val="18"/>
              </w:rPr>
              <w:t>12/10/2026</w:t>
            </w:r>
          </w:p>
        </w:tc>
      </w:tr>
      <w:tr>
        <w:trPr>
          <w:cantSplit/>
        </w:trPr>
        <w:tc>
          <w:tcPr>
            <w:tcW w:type="dxa" w:w="3012"/>
            <w:shd w:val="clear" w:color="auto" w:fill="F3E9C6"/>
          </w:tcPr>
          <w:p>
            <w:r/>
            <w:r>
              <w:rPr>
                <w:b/>
                <w:sz w:val="18"/>
              </w:rPr>
              <w:t>Revision</w:t>
            </w:r>
          </w:p>
        </w:tc>
        <w:tc>
          <w:tcPr>
            <w:tcW w:type="dxa" w:w="6626"/>
          </w:tcPr>
          <w:p>
            <w:pPr>
              <w:spacing w:after="20"/>
            </w:pPr>
            <w:r/>
            <w:r>
              <w:rPr>
                <w:sz w:val="18"/>
              </w:rPr>
              <w:t>G (final for lodgement; supersedes Rev F)</w:t>
            </w:r>
          </w:p>
        </w:tc>
      </w:tr>
      <w:tr>
        <w:trPr>
          <w:cantSplit/>
        </w:trPr>
        <w:tc>
          <w:tcPr>
            <w:tcW w:type="dxa" w:w="3012"/>
            <w:shd w:val="clear" w:color="auto" w:fill="F3E9C6"/>
          </w:tcPr>
          <w:p>
            <w:r/>
            <w:r>
              <w:rPr>
                <w:b/>
                <w:sz w:val="18"/>
              </w:rPr>
              <w:t>Prepared and reviewed by</w:t>
            </w:r>
          </w:p>
        </w:tc>
        <w:tc>
          <w:tcPr>
            <w:tcW w:type="dxa" w:w="6626"/>
          </w:tcPr>
          <w:p>
            <w:pPr>
              <w:spacing w:after="20"/>
            </w:pPr>
            <w:r/>
            <w:r>
              <w:rPr>
                <w:sz w:val="18"/>
              </w:rPr>
              <w:t>Jayden Callen, Director</w:t>
            </w:r>
          </w:p>
        </w:tc>
      </w:tr>
      <w:tr>
        <w:trPr>
          <w:cantSplit/>
        </w:trPr>
        <w:tc>
          <w:tcPr>
            <w:tcW w:type="dxa" w:w="3012"/>
            <w:shd w:val="clear" w:color="auto" w:fill="F3E9C6"/>
          </w:tcPr>
          <w:p>
            <w:r/>
            <w:r>
              <w:rPr>
                <w:b/>
                <w:sz w:val="18"/>
              </w:rPr>
              <w:t>Tender closes</w:t>
            </w:r>
          </w:p>
        </w:tc>
        <w:tc>
          <w:tcPr>
            <w:tcW w:type="dxa" w:w="6626"/>
          </w:tcPr>
          <w:p>
            <w:pPr>
              <w:spacing w:after="20"/>
            </w:pPr>
            <w:r/>
            <w:r>
              <w:rPr>
                <w:sz w:val="18"/>
              </w:rPr>
              <w:t>2:00 pm, Wednesday 28/10/2026</w:t>
            </w:r>
          </w:p>
        </w:tc>
      </w:tr>
      <w:tr>
        <w:trPr>
          <w:cantSplit/>
        </w:trPr>
        <w:tc>
          <w:tcPr>
            <w:tcW w:type="dxa" w:w="3012"/>
            <w:shd w:val="clear" w:color="auto" w:fill="F3E9C6"/>
          </w:tcPr>
          <w:p>
            <w:r/>
            <w:r>
              <w:rPr>
                <w:b/>
                <w:sz w:val="18"/>
              </w:rPr>
              <w:t>Validity</w:t>
            </w:r>
          </w:p>
        </w:tc>
        <w:tc>
          <w:tcPr>
            <w:tcW w:type="dxa" w:w="6626"/>
          </w:tcPr>
          <w:p>
            <w:pPr>
              <w:spacing w:after="20"/>
            </w:pPr>
            <w:r/>
            <w:r>
              <w:rPr>
                <w:sz w:val="18"/>
              </w:rPr>
              <w:t>90 calendar days from the closing date (to 26/01/2027)</w:t>
            </w:r>
          </w:p>
        </w:tc>
      </w:tr>
    </w:tbl>
    <w:p>
      <w:pPr>
        <w:spacing w:after="40"/>
      </w:pPr>
    </w:p>
    <w:p>
      <w:r>
        <w:rPr>
          <w:i w:val="0"/>
        </w:rPr>
        <w:t>Dear Mr Tambosis,</w:t>
      </w:r>
    </w:p>
    <w:p>
      <w:r>
        <w:rPr>
          <w:i w:val="0"/>
        </w:rPr>
        <w:t>JCE Infrastructure Pty Ltd (JCE) offers to deliver Council's Transport Assets Condition Audit and Revaluations 2026/27 (RFT 47-26) as Prime Contractor and Council's single point of contact, for a mandatory lump sum of $437,090.00 excluding GST ($480,799.00 including GST), with each optional asset class and Optional Service A priced separately.</w:t>
      </w:r>
    </w:p>
    <w:p>
      <w:r>
        <w:rPr>
          <w:i w:val="0"/>
        </w:rPr>
        <w:t xml:space="preserve">The engagement is led personally by JCE's Director, Jayden Callen. Jayden's career has moved from civil design into design management, coordinating several disciplines and subconsultants into one package to one program. On this contract JCE carries out all GIS processing, asset register updates, data QA and audit sampling in-house, and Jayden manages a specialist field data capture partner and a qualified valuer to one program, one QA process and one register of comments and actions, with Council's approval of the capture forms and of the pilot as hold points before any network capture proceeds. Jayden has also worked for a regional council in Far North Queensland, where he shortlisted consultants for a council RFT, so he knows what a Council officer needs after award: clear hold points, no surprises on scope or fee, and records Council can audit. While at Langtree Consulting, Jayden also delivered engineering for Tablelands Regional Council (QLD), including the rectification of a floodway on Council's road network.</w:t>
      </w:r>
    </w:p>
    <w:p>
      <w:pPr>
        <w:keepNext/>
      </w:pPr>
      <w:r>
        <w:rPr>
          <w:i w:val="0"/>
        </w:rPr>
        <w:t>JCE leads the methodology, data QA, defect escalation, maintenance and renewal programs, revaluation and reporting, and will deliver the audit data, spatial layers and revaluation reports by 31/03/2027. This proposal is the methodology, schedule and pricing attachment to JCE's completed Returnable Documents.</w:t>
      </w:r>
    </w:p>
    <w:p>
      <w:pPr>
        <w:keepNext/>
      </w:pPr>
      <w:r>
        <w:rPr>
          <w:i w:val="0"/>
        </w:rPr>
        <w:t>Yours faithfully,</w:t>
      </w:r>
    </w:p>
    <w:p>
      <w:pPr>
        <w:keepNext/>
      </w:pPr>
      <w:r>
        <w:rPr>
          <w:i w:val="0"/>
        </w:rPr>
        <w:t>[signature]</w:t>
      </w:r>
    </w:p>
    <w:p>
      <w:pPr>
        <w:keepNext/>
      </w:pPr>
      <w:r>
        <w:rPr>
          <w:i w:val="0"/>
        </w:rPr>
        <w:t>Jayden Callen</w:t>
      </w:r>
    </w:p>
    <w:p>
      <w:r>
        <w:rPr>
          <w:i w:val="0"/>
        </w:rPr>
        <w:t>Director, JCE Infrastructure Pty Ltd  |  0477 207 027  |  jayden@jceinfrastructure.com.au</w:t>
      </w:r>
    </w:p>
    <w:p>
      <w:r>
        <w:br w:type="page"/>
      </w:r>
    </w:p>
    <w:p>
      <w:pPr>
        <w:pStyle w:val="Heading1"/>
        <w:pBdr>
          <w:bottom w:val="single" w:sz="6" w:space="1" w:color="C9A227"/>
        </w:pBdr>
      </w:pPr>
      <w:r>
        <w:t>1.0   Project understanding</w:t>
      </w:r>
    </w:p>
    <w:p>
      <w:r>
        <w:rPr>
          <w:i w:val="0"/>
        </w:rPr>
        <w:t>Council seeks lump sum pricing for a comprehensive condition audit and revaluation of its transport asset network, with documented programs for capital renewal, upgrade and maintenance works. The work validates and updates existing data and spatial locations, collects new or discovered assets, records physical defects, supplies updated ESRI shapefiles, and revalues the nominated asset classes under AASB 13, AASB 116, AASB 136, AASB 2022-10 and the IPWEA guidance notes on asset valuation.</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4190"/>
        <w:gridCol w:w="2514"/>
        <w:gridCol w:w="1928"/>
        <w:gridCol w:w="1006"/>
      </w:tblGrid>
      <w:tr>
        <w:trPr>
          <w:tblHeader/>
          <w:cantSplit/>
        </w:trPr>
        <w:tc>
          <w:tcPr>
            <w:tcW w:type="dxa" w:w="4190"/>
            <w:shd w:val="clear" w:color="auto" w:fill="000000"/>
          </w:tcPr>
          <w:p>
            <w:pPr>
              <w:keepNext/>
            </w:pPr>
            <w:r/>
            <w:r>
              <w:rPr>
                <w:b/>
                <w:color w:val="FFFFFF"/>
                <w:sz w:val="17"/>
              </w:rPr>
              <w:t>Asset class (Council Scope table)</w:t>
            </w:r>
          </w:p>
        </w:tc>
        <w:tc>
          <w:tcPr>
            <w:tcW w:type="dxa" w:w="2514"/>
            <w:shd w:val="clear" w:color="auto" w:fill="000000"/>
          </w:tcPr>
          <w:p>
            <w:pPr>
              <w:keepNext/>
            </w:pPr>
            <w:r/>
            <w:r>
              <w:rPr>
                <w:b/>
                <w:color w:val="FFFFFF"/>
                <w:sz w:val="17"/>
              </w:rPr>
              <w:t>Estimated quantity</w:t>
            </w:r>
          </w:p>
        </w:tc>
        <w:tc>
          <w:tcPr>
            <w:tcW w:type="dxa" w:w="1928"/>
            <w:shd w:val="clear" w:color="auto" w:fill="000000"/>
          </w:tcPr>
          <w:p>
            <w:pPr>
              <w:keepNext/>
            </w:pPr>
            <w:r/>
            <w:r>
              <w:rPr>
                <w:b/>
                <w:color w:val="FFFFFF"/>
                <w:sz w:val="17"/>
              </w:rPr>
              <w:t>Condition</w:t>
            </w:r>
          </w:p>
        </w:tc>
        <w:tc>
          <w:tcPr>
            <w:tcW w:type="dxa" w:w="1006"/>
            <w:shd w:val="clear" w:color="auto" w:fill="000000"/>
          </w:tcPr>
          <w:p>
            <w:pPr>
              <w:keepNext/>
            </w:pPr>
            <w:r/>
            <w:r>
              <w:rPr>
                <w:b/>
                <w:color w:val="FFFFFF"/>
                <w:sz w:val="17"/>
              </w:rPr>
              <w:t>Revalue</w:t>
            </w:r>
          </w:p>
        </w:tc>
      </w:tr>
      <w:tr>
        <w:trPr>
          <w:cantSplit/>
        </w:trPr>
        <w:tc>
          <w:tcPr>
            <w:tcW w:type="dxa" w:w="4190"/>
          </w:tcPr>
          <w:p>
            <w:pPr>
              <w:keepNext/>
              <w:spacing w:after="20"/>
            </w:pPr>
            <w:r/>
            <w:r>
              <w:rPr>
                <w:sz w:val="17"/>
              </w:rPr>
              <w:t>Roads (State roads excluded; regional roads both directions)</w:t>
            </w:r>
          </w:p>
        </w:tc>
        <w:tc>
          <w:tcPr>
            <w:tcW w:type="dxa" w:w="2514"/>
          </w:tcPr>
          <w:p>
            <w:pPr>
              <w:keepNext/>
              <w:spacing w:after="20"/>
            </w:pPr>
            <w:r/>
            <w:r>
              <w:rPr>
                <w:sz w:val="17"/>
              </w:rPr>
              <w:t>464 km (3,852,677 m²)</w:t>
            </w:r>
          </w:p>
        </w:tc>
        <w:tc>
          <w:tcPr>
            <w:tcW w:type="dxa" w:w="1928"/>
          </w:tcPr>
          <w:p>
            <w:pPr>
              <w:keepNext/>
              <w:spacing w:after="20"/>
            </w:pPr>
            <w:r/>
            <w:r>
              <w:rPr>
                <w:sz w:val="17"/>
              </w:rPr>
              <w:t>Overall and every 50 m</w:t>
            </w:r>
          </w:p>
        </w:tc>
        <w:tc>
          <w:tcPr>
            <w:tcW w:type="dxa" w:w="1006"/>
          </w:tcPr>
          <w:p>
            <w:pPr>
              <w:keepNext/>
              <w:spacing w:after="20"/>
            </w:pPr>
            <w:r/>
            <w:r>
              <w:rPr>
                <w:sz w:val="17"/>
              </w:rPr>
              <w:t>Yes</w:t>
            </w:r>
          </w:p>
        </w:tc>
      </w:tr>
      <w:tr>
        <w:trPr>
          <w:cantSplit/>
        </w:trPr>
        <w:tc>
          <w:tcPr>
            <w:tcW w:type="dxa" w:w="4190"/>
            <w:shd w:val="clear" w:color="auto" w:fill="F7F7F7"/>
          </w:tcPr>
          <w:p>
            <w:pPr>
              <w:spacing w:after="20"/>
            </w:pPr>
            <w:r/>
            <w:r>
              <w:rPr>
                <w:sz w:val="17"/>
              </w:rPr>
              <w:t>Footpaths (including on State roads)</w:t>
            </w:r>
          </w:p>
        </w:tc>
        <w:tc>
          <w:tcPr>
            <w:tcW w:type="dxa" w:w="2514"/>
            <w:shd w:val="clear" w:color="auto" w:fill="F7F7F7"/>
          </w:tcPr>
          <w:p>
            <w:pPr>
              <w:spacing w:after="20"/>
            </w:pPr>
            <w:r/>
            <w:r>
              <w:rPr>
                <w:sz w:val="17"/>
              </w:rPr>
              <w:t>844 km (8,862 segments)</w:t>
            </w:r>
          </w:p>
        </w:tc>
        <w:tc>
          <w:tcPr>
            <w:tcW w:type="dxa" w:w="1928"/>
            <w:shd w:val="clear" w:color="auto" w:fill="F7F7F7"/>
          </w:tcPr>
          <w:p>
            <w:pPr>
              <w:spacing w:after="20"/>
            </w:pPr>
            <w:r/>
            <w:r>
              <w:rPr>
                <w:sz w:val="17"/>
              </w:rPr>
              <w:t>Overall and every 20 m</w:t>
            </w:r>
          </w:p>
        </w:tc>
        <w:tc>
          <w:tcPr>
            <w:tcW w:type="dxa" w:w="1006"/>
            <w:shd w:val="clear" w:color="auto" w:fill="F7F7F7"/>
          </w:tcPr>
          <w:p>
            <w:pPr>
              <w:spacing w:after="20"/>
            </w:pPr>
            <w:r/>
            <w:r>
              <w:rPr>
                <w:sz w:val="17"/>
              </w:rPr>
              <w:t>Yes</w:t>
            </w:r>
          </w:p>
        </w:tc>
      </w:tr>
      <w:tr>
        <w:trPr>
          <w:cantSplit/>
        </w:trPr>
        <w:tc>
          <w:tcPr>
            <w:tcW w:type="dxa" w:w="4190"/>
          </w:tcPr>
          <w:p>
            <w:pPr>
              <w:spacing w:after="20"/>
            </w:pPr>
            <w:r/>
            <w:r>
              <w:rPr>
                <w:sz w:val="17"/>
              </w:rPr>
              <w:t>Kerb and gutter (State roads excluded)</w:t>
            </w:r>
          </w:p>
        </w:tc>
        <w:tc>
          <w:tcPr>
            <w:tcW w:type="dxa" w:w="2514"/>
          </w:tcPr>
          <w:p>
            <w:pPr>
              <w:spacing w:after="20"/>
            </w:pPr>
            <w:r/>
            <w:r>
              <w:rPr>
                <w:sz w:val="17"/>
              </w:rPr>
              <w:t>865.9 km</w:t>
            </w:r>
          </w:p>
        </w:tc>
        <w:tc>
          <w:tcPr>
            <w:tcW w:type="dxa" w:w="1928"/>
          </w:tcPr>
          <w:p>
            <w:pPr>
              <w:spacing w:after="20"/>
            </w:pPr>
            <w:r/>
            <w:r>
              <w:rPr>
                <w:sz w:val="17"/>
              </w:rPr>
              <w:t>Overall and every 10 m</w:t>
            </w:r>
          </w:p>
        </w:tc>
        <w:tc>
          <w:tcPr>
            <w:tcW w:type="dxa" w:w="1006"/>
          </w:tcPr>
          <w:p>
            <w:pPr>
              <w:spacing w:after="20"/>
            </w:pPr>
            <w:r/>
            <w:r>
              <w:rPr>
                <w:sz w:val="17"/>
              </w:rPr>
              <w:t>Yes</w:t>
            </w:r>
          </w:p>
        </w:tc>
      </w:tr>
      <w:tr>
        <w:trPr>
          <w:cantSplit/>
        </w:trPr>
        <w:tc>
          <w:tcPr>
            <w:tcW w:type="dxa" w:w="4190"/>
            <w:shd w:val="clear" w:color="auto" w:fill="F7F7F7"/>
          </w:tcPr>
          <w:p>
            <w:pPr>
              <w:spacing w:after="20"/>
            </w:pPr>
            <w:r/>
            <w:r>
              <w:rPr>
                <w:sz w:val="17"/>
              </w:rPr>
              <w:t>Traffic devices (LATM), with dimensions</w:t>
            </w:r>
          </w:p>
        </w:tc>
        <w:tc>
          <w:tcPr>
            <w:tcW w:type="dxa" w:w="2514"/>
            <w:shd w:val="clear" w:color="auto" w:fill="F7F7F7"/>
          </w:tcPr>
          <w:p>
            <w:pPr>
              <w:spacing w:after="20"/>
            </w:pPr>
            <w:r/>
            <w:r>
              <w:rPr>
                <w:sz w:val="17"/>
              </w:rPr>
              <w:t>4,885</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Yes</w:t>
            </w:r>
          </w:p>
        </w:tc>
      </w:tr>
      <w:tr>
        <w:trPr>
          <w:cantSplit/>
        </w:trPr>
        <w:tc>
          <w:tcPr>
            <w:tcW w:type="dxa" w:w="4190"/>
          </w:tcPr>
          <w:p>
            <w:pPr>
              <w:spacing w:after="20"/>
            </w:pPr>
            <w:r/>
            <w:r>
              <w:rPr>
                <w:sz w:val="17"/>
              </w:rPr>
              <w:t>Street furniture and other road assets</w:t>
            </w:r>
          </w:p>
        </w:tc>
        <w:tc>
          <w:tcPr>
            <w:tcW w:type="dxa" w:w="2514"/>
          </w:tcPr>
          <w:p>
            <w:pPr>
              <w:spacing w:after="20"/>
            </w:pPr>
            <w:r/>
            <w:r>
              <w:rPr>
                <w:sz w:val="17"/>
              </w:rPr>
              <w:t>5,972</w:t>
            </w:r>
          </w:p>
        </w:tc>
        <w:tc>
          <w:tcPr>
            <w:tcW w:type="dxa" w:w="1928"/>
          </w:tcPr>
          <w:p>
            <w:pPr>
              <w:spacing w:after="20"/>
            </w:pPr>
            <w:r/>
            <w:r>
              <w:rPr>
                <w:sz w:val="17"/>
              </w:rPr>
              <w:t>Overall</w:t>
            </w:r>
          </w:p>
        </w:tc>
        <w:tc>
          <w:tcPr>
            <w:tcW w:type="dxa" w:w="1006"/>
          </w:tcPr>
          <w:p>
            <w:pPr>
              <w:spacing w:after="20"/>
            </w:pPr>
            <w:r/>
            <w:r>
              <w:rPr>
                <w:sz w:val="17"/>
              </w:rPr>
              <w:t>Yes</w:t>
            </w:r>
          </w:p>
        </w:tc>
      </w:tr>
      <w:tr>
        <w:trPr>
          <w:cantSplit/>
        </w:trPr>
        <w:tc>
          <w:tcPr>
            <w:tcW w:type="dxa" w:w="4190"/>
            <w:shd w:val="clear" w:color="auto" w:fill="F7F7F7"/>
          </w:tcPr>
          <w:p>
            <w:pPr>
              <w:spacing w:after="20"/>
            </w:pPr>
            <w:r/>
            <w:r>
              <w:rPr>
                <w:sz w:val="17"/>
              </w:rPr>
              <w:t>Artwork</w:t>
            </w:r>
          </w:p>
        </w:tc>
        <w:tc>
          <w:tcPr>
            <w:tcW w:type="dxa" w:w="2514"/>
            <w:shd w:val="clear" w:color="auto" w:fill="F7F7F7"/>
          </w:tcPr>
          <w:p>
            <w:pPr>
              <w:spacing w:after="20"/>
            </w:pPr>
            <w:r/>
            <w:r>
              <w:rPr>
                <w:sz w:val="17"/>
              </w:rPr>
              <w:t>Unknown</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Yes</w:t>
            </w:r>
          </w:p>
        </w:tc>
      </w:tr>
      <w:tr>
        <w:trPr>
          <w:cantSplit/>
        </w:trPr>
        <w:tc>
          <w:tcPr>
            <w:tcW w:type="dxa" w:w="4190"/>
          </w:tcPr>
          <w:p>
            <w:pPr>
              <w:spacing w:after="20"/>
            </w:pPr>
            <w:r/>
            <w:r>
              <w:rPr>
                <w:sz w:val="17"/>
              </w:rPr>
              <w:t>Car park surfaces; car park assets</w:t>
            </w:r>
          </w:p>
        </w:tc>
        <w:tc>
          <w:tcPr>
            <w:tcW w:type="dxa" w:w="2514"/>
          </w:tcPr>
          <w:p>
            <w:pPr>
              <w:spacing w:after="20"/>
            </w:pPr>
            <w:r/>
            <w:r>
              <w:rPr>
                <w:sz w:val="17"/>
              </w:rPr>
              <w:t>81 locations (143,266 m²); 1,533</w:t>
            </w:r>
          </w:p>
        </w:tc>
        <w:tc>
          <w:tcPr>
            <w:tcW w:type="dxa" w:w="1928"/>
          </w:tcPr>
          <w:p>
            <w:pPr>
              <w:spacing w:after="20"/>
            </w:pPr>
            <w:r/>
            <w:r>
              <w:rPr>
                <w:sz w:val="17"/>
              </w:rPr>
              <w:t>Overall</w:t>
            </w:r>
          </w:p>
        </w:tc>
        <w:tc>
          <w:tcPr>
            <w:tcW w:type="dxa" w:w="1006"/>
          </w:tcPr>
          <w:p>
            <w:pPr>
              <w:spacing w:after="20"/>
            </w:pPr>
            <w:r/>
            <w:r>
              <w:rPr>
                <w:sz w:val="17"/>
              </w:rPr>
              <w:t>Yes</w:t>
            </w:r>
          </w:p>
        </w:tc>
      </w:tr>
      <w:tr>
        <w:trPr>
          <w:cantSplit/>
        </w:trPr>
        <w:tc>
          <w:tcPr>
            <w:tcW w:type="dxa" w:w="4190"/>
            <w:shd w:val="clear" w:color="auto" w:fill="F7F7F7"/>
          </w:tcPr>
          <w:p>
            <w:pPr>
              <w:spacing w:after="20"/>
            </w:pPr>
            <w:r/>
            <w:r>
              <w:rPr>
                <w:sz w:val="17"/>
              </w:rPr>
              <w:t>White way (under-awning) lighting, new class</w:t>
            </w:r>
          </w:p>
        </w:tc>
        <w:tc>
          <w:tcPr>
            <w:tcW w:type="dxa" w:w="2514"/>
            <w:shd w:val="clear" w:color="auto" w:fill="F7F7F7"/>
          </w:tcPr>
          <w:p>
            <w:pPr>
              <w:spacing w:after="20"/>
            </w:pPr>
            <w:r/>
            <w:r>
              <w:rPr>
                <w:sz w:val="17"/>
              </w:rPr>
              <w:t>1,500+</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Yes</w:t>
            </w:r>
          </w:p>
        </w:tc>
      </w:tr>
      <w:tr>
        <w:trPr>
          <w:cantSplit/>
        </w:trPr>
        <w:tc>
          <w:tcPr>
            <w:tcW w:type="dxa" w:w="4190"/>
          </w:tcPr>
          <w:p>
            <w:pPr>
              <w:spacing w:after="20"/>
            </w:pPr>
            <w:r/>
            <w:r>
              <w:rPr>
                <w:sz w:val="17"/>
              </w:rPr>
              <w:t>Signage, all types categorised</w:t>
            </w:r>
          </w:p>
        </w:tc>
        <w:tc>
          <w:tcPr>
            <w:tcW w:type="dxa" w:w="2514"/>
          </w:tcPr>
          <w:p>
            <w:pPr>
              <w:spacing w:after="20"/>
            </w:pPr>
            <w:r/>
            <w:r>
              <w:rPr>
                <w:sz w:val="17"/>
              </w:rPr>
              <w:t>50,000+</w:t>
            </w:r>
          </w:p>
        </w:tc>
        <w:tc>
          <w:tcPr>
            <w:tcW w:type="dxa" w:w="1928"/>
          </w:tcPr>
          <w:p>
            <w:pPr>
              <w:spacing w:after="20"/>
            </w:pPr>
            <w:r/>
            <w:r>
              <w:rPr>
                <w:sz w:val="17"/>
              </w:rPr>
              <w:t>Overall</w:t>
            </w:r>
          </w:p>
        </w:tc>
        <w:tc>
          <w:tcPr>
            <w:tcW w:type="dxa" w:w="1006"/>
          </w:tcPr>
          <w:p>
            <w:pPr>
              <w:spacing w:after="20"/>
            </w:pPr>
            <w:r/>
            <w:r>
              <w:rPr>
                <w:sz w:val="17"/>
              </w:rPr>
              <w:t>No</w:t>
            </w:r>
          </w:p>
        </w:tc>
      </w:tr>
      <w:tr>
        <w:trPr>
          <w:cantSplit/>
        </w:trPr>
        <w:tc>
          <w:tcPr>
            <w:tcW w:type="dxa" w:w="4190"/>
            <w:shd w:val="clear" w:color="auto" w:fill="F7F7F7"/>
          </w:tcPr>
          <w:p>
            <w:pPr>
              <w:spacing w:after="20"/>
            </w:pPr>
            <w:r/>
            <w:r>
              <w:rPr>
                <w:sz w:val="17"/>
              </w:rPr>
              <w:t>Bicycle route identifiers; on-road bicycle lanes</w:t>
            </w:r>
          </w:p>
        </w:tc>
        <w:tc>
          <w:tcPr>
            <w:tcW w:type="dxa" w:w="2514"/>
            <w:shd w:val="clear" w:color="auto" w:fill="F7F7F7"/>
          </w:tcPr>
          <w:p>
            <w:pPr>
              <w:spacing w:after="20"/>
            </w:pPr>
            <w:r/>
            <w:r>
              <w:rPr>
                <w:sz w:val="17"/>
              </w:rPr>
              <w:t>Various</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No</w:t>
            </w:r>
          </w:p>
        </w:tc>
      </w:tr>
      <w:tr>
        <w:trPr>
          <w:cantSplit/>
        </w:trPr>
        <w:tc>
          <w:tcPr>
            <w:tcW w:type="dxa" w:w="4190"/>
          </w:tcPr>
          <w:p>
            <w:pPr>
              <w:spacing w:after="20"/>
            </w:pPr>
            <w:r/>
            <w:r>
              <w:rPr>
                <w:sz w:val="17"/>
              </w:rPr>
              <w:t>Optional: kerb and pram ramps (DDA checks)</w:t>
            </w:r>
          </w:p>
        </w:tc>
        <w:tc>
          <w:tcPr>
            <w:tcW w:type="dxa" w:w="2514"/>
          </w:tcPr>
          <w:p>
            <w:pPr>
              <w:spacing w:after="20"/>
            </w:pPr>
            <w:r/>
            <w:r>
              <w:rPr>
                <w:sz w:val="17"/>
              </w:rPr>
              <w:t>8,000+</w:t>
            </w:r>
          </w:p>
        </w:tc>
        <w:tc>
          <w:tcPr>
            <w:tcW w:type="dxa" w:w="1928"/>
          </w:tcPr>
          <w:p>
            <w:pPr>
              <w:spacing w:after="20"/>
            </w:pPr>
            <w:r/>
            <w:r>
              <w:rPr>
                <w:sz w:val="17"/>
              </w:rPr>
              <w:t>Overall</w:t>
            </w:r>
          </w:p>
        </w:tc>
        <w:tc>
          <w:tcPr>
            <w:tcW w:type="dxa" w:w="1006"/>
          </w:tcPr>
          <w:p>
            <w:pPr>
              <w:spacing w:after="20"/>
            </w:pPr>
            <w:r/>
            <w:r>
              <w:rPr>
                <w:sz w:val="17"/>
              </w:rPr>
              <w:t>No</w:t>
            </w:r>
          </w:p>
        </w:tc>
      </w:tr>
      <w:tr>
        <w:trPr>
          <w:cantSplit/>
        </w:trPr>
        <w:tc>
          <w:tcPr>
            <w:tcW w:type="dxa" w:w="4190"/>
            <w:shd w:val="clear" w:color="auto" w:fill="F7F7F7"/>
          </w:tcPr>
          <w:p>
            <w:pPr>
              <w:spacing w:after="20"/>
            </w:pPr>
            <w:r/>
            <w:r>
              <w:rPr>
                <w:sz w:val="17"/>
              </w:rPr>
              <w:t>Optional: tree pits and verge gardens</w:t>
            </w:r>
          </w:p>
        </w:tc>
        <w:tc>
          <w:tcPr>
            <w:tcW w:type="dxa" w:w="2514"/>
            <w:shd w:val="clear" w:color="auto" w:fill="F7F7F7"/>
          </w:tcPr>
          <w:p>
            <w:pPr>
              <w:spacing w:after="20"/>
            </w:pPr>
            <w:r/>
            <w:r>
              <w:rPr>
                <w:sz w:val="17"/>
              </w:rPr>
              <w:t>15,350+</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No</w:t>
            </w:r>
          </w:p>
        </w:tc>
      </w:tr>
      <w:tr>
        <w:trPr>
          <w:cantSplit/>
        </w:trPr>
        <w:tc>
          <w:tcPr>
            <w:tcW w:type="dxa" w:w="4190"/>
          </w:tcPr>
          <w:p>
            <w:pPr>
              <w:spacing w:after="20"/>
            </w:pPr>
            <w:r/>
            <w:r>
              <w:rPr>
                <w:sz w:val="17"/>
              </w:rPr>
              <w:t>Optional: vehicle crossings</w:t>
            </w:r>
          </w:p>
        </w:tc>
        <w:tc>
          <w:tcPr>
            <w:tcW w:type="dxa" w:w="2514"/>
          </w:tcPr>
          <w:p>
            <w:pPr>
              <w:spacing w:after="20"/>
            </w:pPr>
            <w:r/>
            <w:r>
              <w:rPr>
                <w:sz w:val="17"/>
              </w:rPr>
              <w:t>34,300+</w:t>
            </w:r>
          </w:p>
        </w:tc>
        <w:tc>
          <w:tcPr>
            <w:tcW w:type="dxa" w:w="1928"/>
          </w:tcPr>
          <w:p>
            <w:pPr>
              <w:spacing w:after="20"/>
            </w:pPr>
            <w:r/>
            <w:r>
              <w:rPr>
                <w:sz w:val="17"/>
              </w:rPr>
              <w:t>Overall</w:t>
            </w:r>
          </w:p>
        </w:tc>
        <w:tc>
          <w:tcPr>
            <w:tcW w:type="dxa" w:w="1006"/>
          </w:tcPr>
          <w:p>
            <w:pPr>
              <w:spacing w:after="20"/>
            </w:pPr>
            <w:r/>
            <w:r>
              <w:rPr>
                <w:sz w:val="17"/>
              </w:rPr>
              <w:t>No</w:t>
            </w:r>
          </w:p>
        </w:tc>
      </w:tr>
      <w:tr>
        <w:trPr>
          <w:cantSplit/>
        </w:trPr>
        <w:tc>
          <w:tcPr>
            <w:tcW w:type="dxa" w:w="4190"/>
            <w:shd w:val="clear" w:color="auto" w:fill="F7F7F7"/>
          </w:tcPr>
          <w:p>
            <w:pPr>
              <w:spacing w:after="20"/>
            </w:pPr>
            <w:r/>
            <w:r>
              <w:rPr>
                <w:sz w:val="17"/>
              </w:rPr>
              <w:t>Optional: road and footpath markings</w:t>
            </w:r>
          </w:p>
        </w:tc>
        <w:tc>
          <w:tcPr>
            <w:tcW w:type="dxa" w:w="2514"/>
            <w:shd w:val="clear" w:color="auto" w:fill="F7F7F7"/>
          </w:tcPr>
          <w:p>
            <w:pPr>
              <w:spacing w:after="20"/>
            </w:pPr>
            <w:r/>
            <w:r>
              <w:rPr>
                <w:sz w:val="17"/>
              </w:rPr>
              <w:t>Network-wide</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No</w:t>
            </w:r>
          </w:p>
        </w:tc>
      </w:tr>
      <w:tr>
        <w:trPr>
          <w:cantSplit/>
        </w:trPr>
        <w:tc>
          <w:tcPr>
            <w:tcW w:type="dxa" w:w="4190"/>
          </w:tcPr>
          <w:p>
            <w:pPr>
              <w:spacing w:after="20"/>
            </w:pPr>
            <w:r/>
            <w:r>
              <w:rPr>
                <w:sz w:val="17"/>
              </w:rPr>
              <w:t>Optional: retaining walls (from street and footpath)</w:t>
            </w:r>
          </w:p>
        </w:tc>
        <w:tc>
          <w:tcPr>
            <w:tcW w:type="dxa" w:w="2514"/>
          </w:tcPr>
          <w:p>
            <w:pPr>
              <w:spacing w:after="20"/>
            </w:pPr>
            <w:r/>
            <w:r>
              <w:rPr>
                <w:sz w:val="17"/>
              </w:rPr>
              <w:t>Unknown</w:t>
            </w:r>
          </w:p>
        </w:tc>
        <w:tc>
          <w:tcPr>
            <w:tcW w:type="dxa" w:w="1928"/>
          </w:tcPr>
          <w:p>
            <w:pPr>
              <w:spacing w:after="20"/>
            </w:pPr>
            <w:r/>
            <w:r>
              <w:rPr>
                <w:sz w:val="17"/>
              </w:rPr>
              <w:t>Overall</w:t>
            </w:r>
          </w:p>
        </w:tc>
        <w:tc>
          <w:tcPr>
            <w:tcW w:type="dxa" w:w="1006"/>
          </w:tcPr>
          <w:p>
            <w:pPr>
              <w:spacing w:after="20"/>
            </w:pPr>
            <w:r/>
            <w:r>
              <w:rPr>
                <w:sz w:val="17"/>
              </w:rPr>
              <w:t>Item 8</w:t>
            </w:r>
          </w:p>
        </w:tc>
      </w:tr>
    </w:tbl>
    <w:p>
      <w:pPr>
        <w:spacing w:after="40"/>
      </w:pPr>
    </w:p>
    <w:p>
      <w:r>
        <w:rPr>
          <w:i w:val="0"/>
        </w:rPr>
        <w:t>Council's quantities are indicative. JCE's lump sums include every additional asset found, as the Contractor Brief requires.</w:t>
      </w:r>
    </w:p>
    <w:p>
      <w:pPr>
        <w:pStyle w:val="Heading2"/>
      </w:pPr>
      <w:r>
        <w:t>What the work must resolve</w:t>
      </w:r>
    </w:p>
    <w:p>
      <w:pPr>
        <w:pStyle w:val="ListBullet"/>
        <w:spacing w:after="40"/>
      </w:pPr>
      <w:r>
        <w:rPr>
          <w:b/>
        </w:rPr>
        <w:t xml:space="preserve">A register Council can rely on. </w:t>
      </w:r>
      <w:r>
        <w:t>Every asset linked to Council's Asset_ID, new assets given unique IDs, and spatial data free of geometry errors, ready for TechnologyOne EAM and IntraMaps or QGIS.</w:t>
      </w:r>
    </w:p>
    <w:p>
      <w:pPr>
        <w:pStyle w:val="ListBullet"/>
        <w:spacing w:after="40"/>
      </w:pPr>
      <w:r>
        <w:rPr>
          <w:b/>
        </w:rPr>
        <w:t xml:space="preserve">Defects and maintenance. </w:t>
      </w:r>
      <w:r>
        <w:t>Very High and Extreme risk defects reported to Council the same day, road defects reported weekly, and a footpath maintenance program that separates grinding (lifts under 35 mm), asphalt wedges (over 35 mm), paver resetting, slab replacement and permanent restoration.</w:t>
      </w:r>
    </w:p>
    <w:p>
      <w:pPr>
        <w:pStyle w:val="ListBullet"/>
        <w:spacing w:after="40"/>
      </w:pPr>
      <w:r>
        <w:rPr>
          <w:b/>
        </w:rPr>
        <w:t xml:space="preserve">Renewal planning. </w:t>
      </w:r>
      <w:r>
        <w:t>Capital renewal, upgrade and maintenance programs built from interval condition data (50 m, 20 m and 10 m), not overall ratings alone.</w:t>
      </w:r>
    </w:p>
    <w:p>
      <w:pPr>
        <w:pStyle w:val="ListBullet"/>
        <w:spacing w:after="40"/>
      </w:pPr>
      <w:r>
        <w:rPr>
          <w:b/>
        </w:rPr>
        <w:t xml:space="preserve">A defensible valuation. </w:t>
      </w:r>
      <w:r>
        <w:t>Replacement costs verified against Rawlinsons and Council's own contract rates, condition-based remaining lives, and complete working papers for Council's auditors.</w:t>
      </w:r>
    </w:p>
    <w:p>
      <w:pPr>
        <w:pStyle w:val="ListBullet"/>
        <w:spacing w:after="40"/>
      </w:pPr>
      <w:r>
        <w:rPr>
          <w:b/>
        </w:rPr>
        <w:t xml:space="preserve">Time. </w:t>
      </w:r>
      <w:r>
        <w:t>Award in late November 2026 and completion by 31/03/2027 leaves about 17 working weeks after the Christmas shutdown, so the revaluation methodology, unit rates and pilot run in parallel with the field program (Section 4.0).</w:t>
      </w:r>
    </w:p>
    <w:p>
      <w:pPr>
        <w:pStyle w:val="Heading1"/>
        <w:pBdr>
          <w:bottom w:val="single" w:sz="6" w:space="1" w:color="C9A227"/>
        </w:pBdr>
      </w:pPr>
      <w:r>
        <w:t>2.0   Methodology and scope of services</w:t>
      </w:r>
    </w:p>
    <w:p>
      <w:r>
        <w:rPr>
          <w:i w:val="0"/>
        </w:rPr>
        <w:t>JCE will deliver the work in six stages with two Council hold points. The data capture partner carries out field capture and condition rating under JCE's direction. JCE builds every GIS output and register update in-house, audits a 5% sample of the partner's imagery each week, and prepares the revaluation and the partner valuer reviews and signs it. Jayden Callen reviews every deliverable before it reaches Council.</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741"/>
        <w:gridCol w:w="4942"/>
        <w:gridCol w:w="1483"/>
        <w:gridCol w:w="2471"/>
      </w:tblGrid>
      <w:tr>
        <w:trPr>
          <w:tblHeader/>
          <w:cantSplit/>
        </w:trPr>
        <w:tc>
          <w:tcPr>
            <w:tcW w:type="dxa" w:w="741"/>
            <w:shd w:val="clear" w:color="auto" w:fill="000000"/>
          </w:tcPr>
          <w:p>
            <w:pPr>
              <w:keepNext/>
            </w:pPr>
            <w:r/>
            <w:r>
              <w:rPr>
                <w:b/>
                <w:color w:val="FFFFFF"/>
                <w:sz w:val="17"/>
              </w:rPr>
              <w:t>No.</w:t>
            </w:r>
          </w:p>
        </w:tc>
        <w:tc>
          <w:tcPr>
            <w:tcW w:type="dxa" w:w="4942"/>
            <w:shd w:val="clear" w:color="auto" w:fill="000000"/>
          </w:tcPr>
          <w:p>
            <w:pPr>
              <w:keepNext/>
            </w:pPr>
            <w:r/>
            <w:r>
              <w:rPr>
                <w:b/>
                <w:color w:val="FFFFFF"/>
                <w:sz w:val="17"/>
              </w:rPr>
              <w:t>Work</w:t>
            </w:r>
          </w:p>
        </w:tc>
        <w:tc>
          <w:tcPr>
            <w:tcW w:type="dxa" w:w="1483"/>
            <w:shd w:val="clear" w:color="auto" w:fill="000000"/>
          </w:tcPr>
          <w:p>
            <w:pPr>
              <w:keepNext/>
            </w:pPr>
            <w:r/>
            <w:r>
              <w:rPr>
                <w:b/>
                <w:color w:val="FFFFFF"/>
                <w:sz w:val="17"/>
              </w:rPr>
              <w:t>Led by</w:t>
            </w:r>
          </w:p>
        </w:tc>
        <w:tc>
          <w:tcPr>
            <w:tcW w:type="dxa" w:w="2471"/>
            <w:shd w:val="clear" w:color="auto" w:fill="000000"/>
          </w:tcPr>
          <w:p>
            <w:pPr>
              <w:keepNext/>
            </w:pPr>
            <w:r/>
            <w:r>
              <w:rPr>
                <w:b/>
                <w:color w:val="FFFFFF"/>
                <w:sz w:val="17"/>
              </w:rPr>
              <w:t>Hold point / output</w:t>
            </w:r>
          </w:p>
        </w:tc>
      </w:tr>
      <w:tr>
        <w:trPr>
          <w:cantSplit/>
        </w:trPr>
        <w:tc>
          <w:tcPr>
            <w:tcW w:type="dxa" w:w="741"/>
          </w:tcPr>
          <w:p>
            <w:pPr>
              <w:keepNext/>
              <w:spacing w:after="20"/>
            </w:pPr>
            <w:r/>
            <w:r>
              <w:rPr>
                <w:sz w:val="17"/>
              </w:rPr>
              <w:t>1</w:t>
            </w:r>
          </w:p>
        </w:tc>
        <w:tc>
          <w:tcPr>
            <w:tcW w:type="dxa" w:w="4942"/>
          </w:tcPr>
          <w:p>
            <w:pPr>
              <w:keepNext/>
              <w:spacing w:after="20"/>
            </w:pPr>
            <w:r/>
            <w:r>
              <w:rPr>
                <w:sz w:val="17"/>
              </w:rPr>
              <w:t>Inception, stakeholder meeting, Council data review, capture forms, data definitions, condition criteria, audit and QA plan, field trial</w:t>
            </w:r>
          </w:p>
        </w:tc>
        <w:tc>
          <w:tcPr>
            <w:tcW w:type="dxa" w:w="1483"/>
          </w:tcPr>
          <w:p>
            <w:pPr>
              <w:keepNext/>
              <w:spacing w:after="20"/>
            </w:pPr>
            <w:r/>
            <w:r>
              <w:rPr>
                <w:sz w:val="17"/>
              </w:rPr>
              <w:t>JCE</w:t>
            </w:r>
          </w:p>
        </w:tc>
        <w:tc>
          <w:tcPr>
            <w:tcW w:type="dxa" w:w="2471"/>
          </w:tcPr>
          <w:p>
            <w:pPr>
              <w:keepNext/>
              <w:spacing w:after="20"/>
            </w:pPr>
            <w:r/>
            <w:r>
              <w:rPr>
                <w:sz w:val="17"/>
              </w:rPr>
              <w:t>Council written approval of forms and definitions</w:t>
            </w:r>
          </w:p>
        </w:tc>
      </w:tr>
      <w:tr>
        <w:trPr>
          <w:cantSplit/>
        </w:trPr>
        <w:tc>
          <w:tcPr>
            <w:tcW w:type="dxa" w:w="741"/>
            <w:shd w:val="clear" w:color="auto" w:fill="F7F7F7"/>
          </w:tcPr>
          <w:p>
            <w:pPr>
              <w:spacing w:after="20"/>
            </w:pPr>
            <w:r/>
            <w:r>
              <w:rPr>
                <w:sz w:val="17"/>
              </w:rPr>
              <w:t>2</w:t>
            </w:r>
          </w:p>
        </w:tc>
        <w:tc>
          <w:tcPr>
            <w:tcW w:type="dxa" w:w="4942"/>
            <w:shd w:val="clear" w:color="auto" w:fill="F7F7F7"/>
          </w:tcPr>
          <w:p>
            <w:pPr>
              <w:spacing w:after="20"/>
            </w:pPr>
            <w:r/>
            <w:r>
              <w:rPr>
                <w:sz w:val="17"/>
              </w:rPr>
              <w:t>Two-week pilot in Council's nominated area; JCE review; final review meeting</w:t>
            </w:r>
          </w:p>
        </w:tc>
        <w:tc>
          <w:tcPr>
            <w:tcW w:type="dxa" w:w="1483"/>
            <w:shd w:val="clear" w:color="auto" w:fill="F7F7F7"/>
          </w:tcPr>
          <w:p>
            <w:pPr>
              <w:spacing w:after="20"/>
            </w:pPr>
            <w:r/>
            <w:r>
              <w:rPr>
                <w:sz w:val="17"/>
              </w:rPr>
              <w:t>Partner with JCE</w:t>
            </w:r>
          </w:p>
        </w:tc>
        <w:tc>
          <w:tcPr>
            <w:tcW w:type="dxa" w:w="2471"/>
            <w:shd w:val="clear" w:color="auto" w:fill="F7F7F7"/>
          </w:tcPr>
          <w:p>
            <w:pPr>
              <w:spacing w:after="20"/>
            </w:pPr>
            <w:r/>
            <w:r>
              <w:rPr>
                <w:sz w:val="17"/>
              </w:rPr>
              <w:t>Hold point: Council approval to proceed</w:t>
            </w:r>
          </w:p>
        </w:tc>
      </w:tr>
      <w:tr>
        <w:trPr>
          <w:cantSplit/>
        </w:trPr>
        <w:tc>
          <w:tcPr>
            <w:tcW w:type="dxa" w:w="741"/>
          </w:tcPr>
          <w:p>
            <w:pPr>
              <w:spacing w:after="20"/>
            </w:pPr>
            <w:r/>
            <w:r>
              <w:rPr>
                <w:sz w:val="17"/>
              </w:rPr>
              <w:t>3</w:t>
            </w:r>
          </w:p>
        </w:tc>
        <w:tc>
          <w:tcPr>
            <w:tcW w:type="dxa" w:w="4942"/>
          </w:tcPr>
          <w:p>
            <w:pPr>
              <w:spacing w:after="20"/>
            </w:pPr>
            <w:r/>
            <w:r>
              <w:rPr>
                <w:sz w:val="17"/>
              </w:rPr>
              <w:t>Network inventory capture and condition rating of all mandatory and selected optional classes; JCE weekly desktop audit sampling; defect escalation</w:t>
            </w:r>
          </w:p>
        </w:tc>
        <w:tc>
          <w:tcPr>
            <w:tcW w:type="dxa" w:w="1483"/>
          </w:tcPr>
          <w:p>
            <w:pPr>
              <w:spacing w:after="20"/>
            </w:pPr>
            <w:r/>
            <w:r>
              <w:rPr>
                <w:sz w:val="17"/>
              </w:rPr>
              <w:t>Partner; audit by JCE</w:t>
            </w:r>
          </w:p>
        </w:tc>
        <w:tc>
          <w:tcPr>
            <w:tcW w:type="dxa" w:w="2471"/>
          </w:tcPr>
          <w:p>
            <w:pPr>
              <w:spacing w:after="20"/>
            </w:pPr>
            <w:r/>
            <w:r>
              <w:rPr>
                <w:sz w:val="17"/>
              </w:rPr>
              <w:t>Weekly data drops from 08/02/2027; same-day defect notices</w:t>
            </w:r>
          </w:p>
        </w:tc>
      </w:tr>
      <w:tr>
        <w:trPr>
          <w:cantSplit/>
        </w:trPr>
        <w:tc>
          <w:tcPr>
            <w:tcW w:type="dxa" w:w="741"/>
            <w:shd w:val="clear" w:color="auto" w:fill="F7F7F7"/>
          </w:tcPr>
          <w:p>
            <w:pPr>
              <w:spacing w:after="20"/>
            </w:pPr>
            <w:r/>
            <w:r>
              <w:rPr>
                <w:sz w:val="17"/>
              </w:rPr>
              <w:t>4</w:t>
            </w:r>
          </w:p>
        </w:tc>
        <w:tc>
          <w:tcPr>
            <w:tcW w:type="dxa" w:w="4942"/>
            <w:shd w:val="clear" w:color="auto" w:fill="F7F7F7"/>
          </w:tcPr>
          <w:p>
            <w:pPr>
              <w:spacing w:after="20"/>
            </w:pPr>
            <w:r/>
            <w:r>
              <w:rPr>
                <w:sz w:val="17"/>
              </w:rPr>
              <w:t>In-house GIS processing, Excel database and shapefiles, asset register update files, data QA, inventory report, programs, workshop, final report</w:t>
            </w:r>
          </w:p>
        </w:tc>
        <w:tc>
          <w:tcPr>
            <w:tcW w:type="dxa" w:w="1483"/>
            <w:shd w:val="clear" w:color="auto" w:fill="F7F7F7"/>
          </w:tcPr>
          <w:p>
            <w:pPr>
              <w:spacing w:after="20"/>
            </w:pPr>
            <w:r/>
            <w:r>
              <w:rPr>
                <w:sz w:val="17"/>
              </w:rPr>
              <w:t>JCE</w:t>
            </w:r>
          </w:p>
        </w:tc>
        <w:tc>
          <w:tcPr>
            <w:tcW w:type="dxa" w:w="2471"/>
            <w:shd w:val="clear" w:color="auto" w:fill="F7F7F7"/>
          </w:tcPr>
          <w:p>
            <w:pPr>
              <w:spacing w:after="20"/>
            </w:pPr>
            <w:r/>
            <w:r>
              <w:rPr>
                <w:sz w:val="17"/>
              </w:rPr>
              <w:t>Audit data 12/03/2027; workshop 24/03/2027</w:t>
            </w:r>
          </w:p>
        </w:tc>
      </w:tr>
      <w:tr>
        <w:trPr>
          <w:cantSplit/>
        </w:trPr>
        <w:tc>
          <w:tcPr>
            <w:tcW w:type="dxa" w:w="741"/>
          </w:tcPr>
          <w:p>
            <w:pPr>
              <w:spacing w:after="20"/>
            </w:pPr>
            <w:r/>
            <w:r>
              <w:rPr>
                <w:sz w:val="17"/>
              </w:rPr>
              <w:t>5</w:t>
            </w:r>
          </w:p>
        </w:tc>
        <w:tc>
          <w:tcPr>
            <w:tcW w:type="dxa" w:w="4942"/>
          </w:tcPr>
          <w:p>
            <w:pPr>
              <w:spacing w:after="20"/>
            </w:pPr>
            <w:r/>
            <w:r>
              <w:rPr>
                <w:sz w:val="17"/>
              </w:rPr>
              <w:t>Comprehensive revaluation: methodology, unit rates, useful lives, calculations, draft and final reports</w:t>
            </w:r>
          </w:p>
        </w:tc>
        <w:tc>
          <w:tcPr>
            <w:tcW w:type="dxa" w:w="1483"/>
          </w:tcPr>
          <w:p>
            <w:pPr>
              <w:spacing w:after="20"/>
            </w:pPr>
            <w:r/>
            <w:r>
              <w:rPr>
                <w:sz w:val="17"/>
              </w:rPr>
              <w:t>JCE with valuer</w:t>
            </w:r>
          </w:p>
        </w:tc>
        <w:tc>
          <w:tcPr>
            <w:tcW w:type="dxa" w:w="2471"/>
          </w:tcPr>
          <w:p>
            <w:pPr>
              <w:spacing w:after="20"/>
            </w:pPr>
            <w:r/>
            <w:r>
              <w:rPr>
                <w:sz w:val="17"/>
              </w:rPr>
              <w:t>Signed final revaluation report 31/03/2027</w:t>
            </w:r>
          </w:p>
        </w:tc>
      </w:tr>
      <w:tr>
        <w:trPr>
          <w:cantSplit/>
        </w:trPr>
        <w:tc>
          <w:tcPr>
            <w:tcW w:type="dxa" w:w="741"/>
            <w:shd w:val="clear" w:color="auto" w:fill="F7F7F7"/>
          </w:tcPr>
          <w:p>
            <w:pPr>
              <w:spacing w:after="20"/>
            </w:pPr>
            <w:r/>
            <w:r>
              <w:rPr>
                <w:sz w:val="17"/>
              </w:rPr>
              <w:t>6</w:t>
            </w:r>
          </w:p>
        </w:tc>
        <w:tc>
          <w:tcPr>
            <w:tcW w:type="dxa" w:w="4942"/>
            <w:shd w:val="clear" w:color="auto" w:fill="F7F7F7"/>
          </w:tcPr>
          <w:p>
            <w:pPr>
              <w:spacing w:after="20"/>
            </w:pPr>
            <w:r/>
            <w:r>
              <w:rPr>
                <w:sz w:val="17"/>
              </w:rPr>
              <w:t>Project management, PCG meetings, quality review, close-out</w:t>
            </w:r>
          </w:p>
        </w:tc>
        <w:tc>
          <w:tcPr>
            <w:tcW w:type="dxa" w:w="1483"/>
            <w:shd w:val="clear" w:color="auto" w:fill="F7F7F7"/>
          </w:tcPr>
          <w:p>
            <w:pPr>
              <w:spacing w:after="20"/>
            </w:pPr>
            <w:r/>
            <w:r>
              <w:rPr>
                <w:sz w:val="17"/>
              </w:rPr>
              <w:t>JCE</w:t>
            </w:r>
          </w:p>
        </w:tc>
        <w:tc>
          <w:tcPr>
            <w:tcW w:type="dxa" w:w="2471"/>
            <w:shd w:val="clear" w:color="auto" w:fill="F7F7F7"/>
          </w:tcPr>
          <w:p>
            <w:pPr>
              <w:spacing w:after="20"/>
            </w:pPr>
            <w:r/>
            <w:r>
              <w:rPr>
                <w:sz w:val="17"/>
              </w:rPr>
              <w:t>Fortnightly PCG minutes; monthly reports</w:t>
            </w:r>
          </w:p>
        </w:tc>
      </w:tr>
    </w:tbl>
    <w:p>
      <w:pPr>
        <w:spacing w:after="40"/>
      </w:pPr>
    </w:p>
    <w:p>
      <w:pPr>
        <w:pStyle w:val="Heading2"/>
      </w:pPr>
      <w:r>
        <w:t>Stage 1: Inception, stakeholder meeting, capture forms and methodology</w:t>
      </w:r>
    </w:p>
    <w:p>
      <w:pPr>
        <w:pStyle w:val="ListBullet"/>
        <w:spacing w:after="40"/>
      </w:pPr>
      <w:r>
        <w:t>Two-hour inception meeting at Council with JCE's agenda and minutes, and the initial stakeholder meeting on data fields, submission requirements and the audit and review process.</w:t>
      </w:r>
    </w:p>
    <w:p>
      <w:pPr>
        <w:pStyle w:val="ListBullet"/>
        <w:spacing w:after="40"/>
      </w:pPr>
      <w:r>
        <w:t>Review of Council's asset registers, attributes and lookup codes, State roads list, defect types, spatial layers, ECW aerial imagery and condition guidelines, with a gap list back to Council within five business days.</w:t>
      </w:r>
    </w:p>
    <w:p>
      <w:pPr>
        <w:pStyle w:val="ListBullet"/>
        <w:spacing w:after="40"/>
      </w:pPr>
      <w:r>
        <w:t>Capture forms and data definitions for each asset class, condition criteria (1 Very Good to 5 Very Poor, with photographic examples), defect types and risk ratings, the segment convention (left side from the "From" street to the "To" street, with house number sub-segments) and the audit and QA plan, issued for Council's written approval.</w:t>
      </w:r>
    </w:p>
    <w:p>
      <w:pPr>
        <w:pStyle w:val="ListBullet"/>
        <w:spacing w:after="40"/>
      </w:pPr>
      <w:r>
        <w:t>Field trial with Council representatives to test the forms and definitions before the pilot.</w:t>
      </w:r>
    </w:p>
    <w:p>
      <w:pPr>
        <w:pStyle w:val="Heading2"/>
      </w:pPr>
      <w:r>
        <w:t>Stage 2: Pilot data collection</w:t>
      </w:r>
    </w:p>
    <w:p>
      <w:pPr>
        <w:pStyle w:val="ListBullet"/>
        <w:spacing w:after="40"/>
      </w:pPr>
      <w:r>
        <w:t>Two-week pilot in Council's nominated area, with the sample data made available for Council's review.</w:t>
      </w:r>
    </w:p>
    <w:p>
      <w:pPr>
        <w:pStyle w:val="ListBullet"/>
        <w:spacing w:after="40"/>
      </w:pPr>
      <w:r>
        <w:t>JCE checks the sample against the definitions, revises the forms, and holds the final review meeting with Council at JCE's cost. Network capture starts only after Council's written approval.</w:t>
      </w:r>
    </w:p>
    <w:p>
      <w:pPr>
        <w:pStyle w:val="Heading2"/>
      </w:pPr>
      <w:r>
        <w:t>Stage 3: Network inventory and condition audit</w:t>
      </w:r>
    </w:p>
    <w:p>
      <w:pPr>
        <w:pStyle w:val="ListBullet"/>
        <w:spacing w:after="40"/>
      </w:pPr>
      <w:r>
        <w:t>Roads (464 km): inventory, widths with concrete and asphalt sections separated, overall and 50 m interval condition, and defects; regional roads in both directions.</w:t>
      </w:r>
    </w:p>
    <w:p>
      <w:pPr>
        <w:pStyle w:val="ListBullet"/>
        <w:spacing w:after="40"/>
      </w:pPr>
      <w:r>
        <w:t>Footpaths (844 km): footpath and verge widths and areas, overall and 20 m interval condition, defects, and lift heights measured for the footpath maintenance program.</w:t>
      </w:r>
    </w:p>
    <w:p>
      <w:pPr>
        <w:pStyle w:val="ListBullet"/>
        <w:spacing w:after="40"/>
      </w:pPr>
      <w:r>
        <w:t>Kerb and gutter (865.9 km): overall and 10 m interval condition and defects.</w:t>
      </w:r>
    </w:p>
    <w:p>
      <w:pPr>
        <w:pStyle w:val="ListBullet"/>
        <w:spacing w:after="40"/>
      </w:pPr>
      <w:r>
        <w:t>Traffic devices with dimensions, street furniture, artwork, car park surfaces and assets, white way lighting, signage by type, bicycle routes and lanes: inventory checked against the register, new assets added, condition and defects; and any optional classes Council selects.</w:t>
      </w:r>
    </w:p>
    <w:p>
      <w:pPr>
        <w:pStyle w:val="ListBullet"/>
        <w:spacing w:after="40"/>
      </w:pPr>
      <w:r>
        <w:t>Very High and Extreme risk defects emailed to Council's contact the same day with the defect type, location and an image; road defects such as potholes reported weekly, or as agreed at inception.</w:t>
      </w:r>
    </w:p>
    <w:p>
      <w:pPr>
        <w:pStyle w:val="ListBullet"/>
        <w:spacing w:after="40"/>
      </w:pPr>
      <w:r>
        <w:t>JCE field verification and partner audit visit in February 2027, and weekly desktop re-rating of a random 5% of the partner's segments and assets from its imagery, with feedback and retraining of the partner's raters.</w:t>
      </w:r>
    </w:p>
    <w:p>
      <w:pPr>
        <w:pStyle w:val="Heading2"/>
      </w:pPr>
      <w:r>
        <w:t>Stage 4: Data QA, deliverables, reports and workshop</w:t>
      </w:r>
    </w:p>
    <w:p>
      <w:pPr>
        <w:pStyle w:val="ListBullet"/>
        <w:spacing w:after="40"/>
      </w:pPr>
      <w:r>
        <w:t>JCE builds in-house, from the partner's weekly data drops: Excel database and ESRI shapefiles with Asset_ID and unique IDs, data dictionary and metadata (Section 2.1), and asset register update files (additions, disposals and attribute changes) for TechnologyOne EAM.</w:t>
      </w:r>
    </w:p>
    <w:p>
      <w:pPr>
        <w:pStyle w:val="ListBullet"/>
        <w:spacing w:after="40"/>
      </w:pPr>
      <w:r>
        <w:t>Initial asset inventory report: findings, condition issues, and risk assessment and risk management recommendations, with condition and defect maps.</w:t>
      </w:r>
    </w:p>
    <w:p>
      <w:pPr>
        <w:pStyle w:val="ListBullet"/>
        <w:spacing w:after="40"/>
      </w:pPr>
      <w:r>
        <w:t>Footpath maintenance program and capital renewal, upgrade and maintenance programs.</w:t>
      </w:r>
    </w:p>
    <w:p>
      <w:pPr>
        <w:pStyle w:val="ListBullet"/>
        <w:spacing w:after="40"/>
      </w:pPr>
      <w:r>
        <w:t>Four-hour workshop for Council staff, led and minuted by JCE, with documents and a detailed agenda issued seven days before; then the final report with executive summary.</w:t>
      </w:r>
    </w:p>
    <w:p>
      <w:pPr>
        <w:pStyle w:val="ListBullet"/>
        <w:spacing w:after="40"/>
      </w:pPr>
      <w:r>
        <w:t>Every document signed by Jayden Callen as Prime Contractor's project manager, certifying it was prepared by competent professional staff and checked for accuracy, compliance with the relevant regulations and the project scope.</w:t>
      </w:r>
    </w:p>
    <w:p>
      <w:pPr>
        <w:pStyle w:val="Heading2"/>
      </w:pPr>
      <w:r>
        <w:t>Stage 5: Comprehensive revaluation</w:t>
      </w:r>
    </w:p>
    <w:p>
      <w:pPr>
        <w:pStyle w:val="ListBullet"/>
        <w:spacing w:after="40"/>
      </w:pPr>
      <w:r>
        <w:t>Revaluation methodology report (by 22/01/2027): valuation date as Council confirms, componentisation, valuation units, fair value hierarchy, and treatment under AASB 13, AASB 116, AASB 136 and AASB 2022-10, following the IPWEA guidance.</w:t>
      </w:r>
    </w:p>
    <w:p>
      <w:pPr>
        <w:pStyle w:val="ListBullet"/>
        <w:spacing w:after="40"/>
      </w:pPr>
      <w:r>
        <w:t>Current replacement cost unit rates from Rawlinsons, Council's contract rates and internal data, each verified and referenced in the working papers; useful lives, residual values and condition to remaining life relationships.</w:t>
      </w:r>
    </w:p>
    <w:p>
      <w:pPr>
        <w:pStyle w:val="ListBullet"/>
        <w:spacing w:after="40"/>
      </w:pPr>
      <w:r>
        <w:t>Revaluation calculations for every asset in the nine classes marked for revaluation, reconciled to Council's register; draft and final revaluation reports with working papers by 31/03/2027, reviewed and signed by the partner's qualified valuer.</w:t>
      </w:r>
    </w:p>
    <w:p>
      <w:pPr>
        <w:pStyle w:val="Heading2"/>
      </w:pPr>
      <w:r>
        <w:t>Stage 6: Project management and quality</w:t>
      </w:r>
    </w:p>
    <w:p>
      <w:pPr>
        <w:pStyle w:val="ListBullet"/>
        <w:spacing w:after="40"/>
      </w:pPr>
      <w:r>
        <w:t>Single point of contact, monthly progress reports, management of the partners' programs, WHS and quality, Director review of every deliverable, Conserve and EFTsure registration, data handover and close-out.</w:t>
      </w:r>
    </w:p>
    <w:p>
      <w:pPr>
        <w:pStyle w:val="ListBullet"/>
        <w:spacing w:after="40"/>
      </w:pPr>
      <w:r>
        <w:t>Fortnightly PCG meetings on Microsoft Teams to 31/03/2027 with JCE's agenda, minutes and action list (Pricing Schedule Item 2).</w:t>
      </w:r>
    </w:p>
    <w:p>
      <w:pPr>
        <w:pStyle w:val="Heading2"/>
      </w:pPr>
      <w:r>
        <w:t>2.1   Proposed data capture and GIS system (Returnable 6)</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2142"/>
        <w:gridCol w:w="7496"/>
      </w:tblGrid>
      <w:tr>
        <w:trPr>
          <w:tblHeader/>
          <w:cantSplit/>
        </w:trPr>
        <w:tc>
          <w:tcPr>
            <w:tcW w:type="dxa" w:w="2142"/>
            <w:shd w:val="clear" w:color="auto" w:fill="000000"/>
          </w:tcPr>
          <w:p>
            <w:pPr>
              <w:keepNext/>
            </w:pPr>
            <w:r/>
            <w:r>
              <w:rPr>
                <w:b/>
                <w:color w:val="FFFFFF"/>
                <w:sz w:val="17"/>
              </w:rPr>
              <w:t>Requirement</w:t>
            </w:r>
          </w:p>
        </w:tc>
        <w:tc>
          <w:tcPr>
            <w:tcW w:type="dxa" w:w="7496"/>
            <w:shd w:val="clear" w:color="auto" w:fill="000000"/>
          </w:tcPr>
          <w:p>
            <w:pPr>
              <w:keepNext/>
            </w:pPr>
            <w:r/>
            <w:r>
              <w:rPr>
                <w:b/>
                <w:color w:val="FFFFFF"/>
                <w:sz w:val="17"/>
              </w:rPr>
              <w:t>How JCE's team will meet it</w:t>
            </w:r>
          </w:p>
        </w:tc>
      </w:tr>
      <w:tr>
        <w:trPr>
          <w:cantSplit/>
        </w:trPr>
        <w:tc>
          <w:tcPr>
            <w:tcW w:type="dxa" w:w="2142"/>
          </w:tcPr>
          <w:p>
            <w:pPr>
              <w:keepNext/>
              <w:spacing w:after="20"/>
            </w:pPr>
            <w:r/>
            <w:r>
              <w:rPr>
                <w:sz w:val="17"/>
              </w:rPr>
              <w:t>Field capture (partner)</w:t>
            </w:r>
          </w:p>
        </w:tc>
        <w:tc>
          <w:tcPr>
            <w:tcW w:type="dxa" w:w="7496"/>
          </w:tcPr>
          <w:p>
            <w:pPr>
              <w:keepNext/>
              <w:spacing w:after="20"/>
            </w:pPr>
            <w:r/>
            <w:r>
              <w:rPr>
                <w:sz w:val="17"/>
              </w:rPr>
              <w:t>The data capture partner's vehicle-mounted imagery for roads, kerb and signage, and walking-pace capture for footpaths, on field tablets running the approved forms with Council's lookup codes, so each record carries the Asset_ID or a new unique ID. Subject to Council's answer on RFI 3. [TBC - Jayden: partner equipment from quote]</w:t>
            </w:r>
          </w:p>
        </w:tc>
      </w:tr>
      <w:tr>
        <w:trPr>
          <w:cantSplit/>
        </w:trPr>
        <w:tc>
          <w:tcPr>
            <w:tcW w:type="dxa" w:w="2142"/>
            <w:shd w:val="clear" w:color="auto" w:fill="F7F7F7"/>
          </w:tcPr>
          <w:p>
            <w:pPr>
              <w:spacing w:after="20"/>
            </w:pPr>
            <w:r/>
            <w:r>
              <w:rPr>
                <w:sz w:val="17"/>
              </w:rPr>
              <w:t>GIS processing (JCE in-house)</w:t>
            </w:r>
          </w:p>
        </w:tc>
        <w:tc>
          <w:tcPr>
            <w:tcW w:type="dxa" w:w="7496"/>
            <w:shd w:val="clear" w:color="auto" w:fill="F7F7F7"/>
          </w:tcPr>
          <w:p>
            <w:pPr>
              <w:spacing w:after="20"/>
            </w:pPr>
            <w:r/>
            <w:r>
              <w:rPr>
                <w:sz w:val="17"/>
              </w:rPr>
              <w:t>JCE ingests the partner's weekly data drops into a QGIS project, matches Asset_IDs, assigns unique IDs to new assets, runs automated completeness, lookup, photo metadata and geometry checks, and builds the deliverables and register update files. Software: QGIS.</w:t>
            </w:r>
          </w:p>
        </w:tc>
      </w:tr>
      <w:tr>
        <w:trPr>
          <w:cantSplit/>
        </w:trPr>
        <w:tc>
          <w:tcPr>
            <w:tcW w:type="dxa" w:w="2142"/>
          </w:tcPr>
          <w:p>
            <w:pPr>
              <w:spacing w:after="20"/>
            </w:pPr>
            <w:r/>
            <w:r>
              <w:rPr>
                <w:sz w:val="17"/>
              </w:rPr>
              <w:t>Drone (RPAS)</w:t>
            </w:r>
          </w:p>
        </w:tc>
        <w:tc>
          <w:tcPr>
            <w:tcW w:type="dxa" w:w="7496"/>
          </w:tcPr>
          <w:p>
            <w:pPr>
              <w:spacing w:after="20"/>
            </w:pPr>
            <w:r/>
            <w:r>
              <w:rPr>
                <w:sz w:val="17"/>
              </w:rPr>
              <w:t>Not used for this contract's network capture. Most of the Inner West LGA is within 5.5 km of Sydney Airport and inside its controlled airspace, and the streets are busy with people. Under CASA's excluded category for drones under 2 kg, flights must stay more than 5.5 km from a controlled aerodrome and must not be near or over people. Drone capture is offered only as an optional per-site rate (Item 10) for a specific asset outside 5.5 km of Sydney and Bankstown airports and clear of people. For that option JCE will deploy a DJI Mavic 3 Enterprise with RTK, with CASA operator accreditation (ARN) and drone registration in place before services start; JCE does not hold a RePL or ReOC. Flights are planned in DroneDeploy with RTK corrections (AUSCORS or CORSnet-NSW), accuracy is checked against independent check points, and captures are processed in Autodesk ReCap Pro and delivered through QGIS. Deliverables per site: orthophoto or terrain model, GIS layer, and high-resolution aerial stills of the asset's existing condition and any defects.</w:t>
            </w:r>
          </w:p>
        </w:tc>
      </w:tr>
      <w:tr>
        <w:trPr>
          <w:cantSplit/>
        </w:trPr>
        <w:tc>
          <w:tcPr>
            <w:tcW w:type="dxa" w:w="2142"/>
            <w:shd w:val="clear" w:color="auto" w:fill="F7F7F7"/>
          </w:tcPr>
          <w:p>
            <w:pPr>
              <w:spacing w:after="20"/>
            </w:pPr>
            <w:r/>
            <w:r>
              <w:rPr>
                <w:sz w:val="17"/>
              </w:rPr>
              <w:t>Positional accuracy</w:t>
            </w:r>
          </w:p>
        </w:tc>
        <w:tc>
          <w:tcPr>
            <w:tcW w:type="dxa" w:w="7496"/>
            <w:shd w:val="clear" w:color="auto" w:fill="F7F7F7"/>
          </w:tcPr>
          <w:p>
            <w:pPr>
              <w:spacing w:after="20"/>
            </w:pPr>
            <w:r/>
            <w:r>
              <w:rPr>
                <w:sz w:val="17"/>
              </w:rPr>
              <w:t>Mapping-grade DGPS receivers, differentially corrected to 1 m or better horizontally and vertically. Each feature record carries receiver type, offset method, date, time, field officer, positional accuracy (average and worst for lines and polygons), number of positions, PDOP or HDOP, correction status and form name. Any heights in AHD.</w:t>
            </w:r>
          </w:p>
        </w:tc>
      </w:tr>
      <w:tr>
        <w:trPr>
          <w:cantSplit/>
        </w:trPr>
        <w:tc>
          <w:tcPr>
            <w:tcW w:type="dxa" w:w="2142"/>
          </w:tcPr>
          <w:p>
            <w:pPr>
              <w:spacing w:after="20"/>
            </w:pPr>
            <w:r/>
            <w:r>
              <w:rPr>
                <w:sz w:val="17"/>
              </w:rPr>
              <w:t>Photographs</w:t>
            </w:r>
          </w:p>
        </w:tc>
        <w:tc>
          <w:tcPr>
            <w:tcW w:type="dxa" w:w="7496"/>
          </w:tcPr>
          <w:p>
            <w:pPr>
              <w:spacing w:after="20"/>
            </w:pPr>
            <w:r/>
            <w:r>
              <w:rPr>
                <w:sz w:val="17"/>
              </w:rPr>
              <w:t>Geo-referenced photographs of 5 megapixels or more of every inventory item, with embedded metadata below the image: coordinates, datum, direction, date, time, site ID, unique photo ID, photographer, contract number and contractor name. Photo number stored in the inventory record.</w:t>
            </w:r>
          </w:p>
        </w:tc>
      </w:tr>
      <w:tr>
        <w:trPr>
          <w:cantSplit/>
        </w:trPr>
        <w:tc>
          <w:tcPr>
            <w:tcW w:type="dxa" w:w="2142"/>
            <w:shd w:val="clear" w:color="auto" w:fill="F7F7F7"/>
          </w:tcPr>
          <w:p>
            <w:pPr>
              <w:spacing w:after="20"/>
            </w:pPr>
            <w:r/>
            <w:r>
              <w:rPr>
                <w:sz w:val="17"/>
              </w:rPr>
              <w:t>Segments</w:t>
            </w:r>
          </w:p>
        </w:tc>
        <w:tc>
          <w:tcPr>
            <w:tcW w:type="dxa" w:w="7496"/>
            <w:shd w:val="clear" w:color="auto" w:fill="F7F7F7"/>
          </w:tcPr>
          <w:p>
            <w:pPr>
              <w:spacing w:after="20"/>
            </w:pPr>
            <w:r/>
            <w:r>
              <w:rPr>
                <w:sz w:val="17"/>
              </w:rPr>
              <w:t>Left side of the street from the "From" street to the "To" street, with house number sub-segments; the same convention for new assets.</w:t>
            </w:r>
          </w:p>
        </w:tc>
      </w:tr>
      <w:tr>
        <w:trPr>
          <w:cantSplit/>
        </w:trPr>
        <w:tc>
          <w:tcPr>
            <w:tcW w:type="dxa" w:w="2142"/>
          </w:tcPr>
          <w:p>
            <w:pPr>
              <w:spacing w:after="20"/>
            </w:pPr>
            <w:r/>
            <w:r>
              <w:rPr>
                <w:sz w:val="17"/>
              </w:rPr>
              <w:t>Outputs</w:t>
            </w:r>
          </w:p>
        </w:tc>
        <w:tc>
          <w:tcPr>
            <w:tcW w:type="dxa" w:w="7496"/>
          </w:tcPr>
          <w:p>
            <w:pPr>
              <w:spacing w:after="20"/>
            </w:pPr>
            <w:r/>
            <w:r>
              <w:rPr>
                <w:sz w:val="17"/>
              </w:rPr>
              <w:t>Microsoft Excel (.xlsx) database and ESRI shapefiles in MGA Zone 56, GDA2020 (EPSG:28356), with Council Asset_ID and contractor unique ID attributes, an electronic data dictionary of every field, and metadata on processing method, accuracy, corrections, control, origin, history and acquisition method.</w:t>
            </w:r>
          </w:p>
        </w:tc>
      </w:tr>
      <w:tr>
        <w:trPr>
          <w:cantSplit/>
        </w:trPr>
        <w:tc>
          <w:tcPr>
            <w:tcW w:type="dxa" w:w="2142"/>
            <w:shd w:val="clear" w:color="auto" w:fill="F7F7F7"/>
          </w:tcPr>
          <w:p>
            <w:pPr>
              <w:spacing w:after="20"/>
            </w:pPr>
            <w:r/>
            <w:r>
              <w:rPr>
                <w:sz w:val="17"/>
              </w:rPr>
              <w:t>Geometry checks</w:t>
            </w:r>
          </w:p>
        </w:tc>
        <w:tc>
          <w:tcPr>
            <w:tcW w:type="dxa" w:w="7496"/>
            <w:shd w:val="clear" w:color="auto" w:fill="F7F7F7"/>
          </w:tcPr>
          <w:p>
            <w:pPr>
              <w:spacing w:after="20"/>
            </w:pPr>
            <w:r/>
            <w:r>
              <w:rPr>
                <w:sz w:val="17"/>
              </w:rPr>
              <w:t>Automated QGIS topology checks before delivery: no slivers, self-intersections, dangles, overlaps, gaps or duplicates. Failures fixed before release.</w:t>
            </w:r>
          </w:p>
        </w:tc>
      </w:tr>
      <w:tr>
        <w:trPr>
          <w:cantSplit/>
        </w:trPr>
        <w:tc>
          <w:tcPr>
            <w:tcW w:type="dxa" w:w="2142"/>
          </w:tcPr>
          <w:p>
            <w:pPr>
              <w:spacing w:after="20"/>
            </w:pPr>
            <w:r/>
            <w:r>
              <w:rPr>
                <w:sz w:val="17"/>
              </w:rPr>
              <w:t>Compatibility</w:t>
            </w:r>
          </w:p>
        </w:tc>
        <w:tc>
          <w:tcPr>
            <w:tcW w:type="dxa" w:w="7496"/>
          </w:tcPr>
          <w:p>
            <w:pPr>
              <w:spacing w:after="20"/>
            </w:pPr>
            <w:r/>
            <w:r>
              <w:rPr>
                <w:sz w:val="17"/>
              </w:rPr>
              <w:t>Field names and lookup codes matched to TechnologyOne EAM import templates and tested in QGIS and IntraMaps before final delivery.</w:t>
            </w:r>
          </w:p>
        </w:tc>
      </w:tr>
    </w:tbl>
    <w:p>
      <w:pPr>
        <w:spacing w:after="40"/>
      </w:pPr>
    </w:p>
    <w:p>
      <w:pPr>
        <w:pStyle w:val="Heading2"/>
      </w:pPr>
      <w:r>
        <w:t>2.2   Data audit and verification (Returnable 14)</w:t>
      </w:r>
    </w:p>
    <w:p>
      <w:pPr>
        <w:pStyle w:val="ListBullet"/>
        <w:spacing w:after="40"/>
      </w:pPr>
      <w:r>
        <w:t>Calibration day for all raters on the approved definitions, repeated after the pilot and for any new rater.</w:t>
      </w:r>
    </w:p>
    <w:p>
      <w:pPr>
        <w:pStyle w:val="ListBullet"/>
        <w:spacing w:after="40"/>
      </w:pPr>
      <w:r>
        <w:t>Independent desktop re-rating by JCE of a random sample of at least 5% of the partner's segments and assets each week, from the partner's imagery, with results fed back to each rater; ratings that differ by more than one condition grade trigger retraining and re-capture of the affected area.</w:t>
      </w:r>
    </w:p>
    <w:p>
      <w:pPr>
        <w:pStyle w:val="ListBullet"/>
        <w:spacing w:after="40"/>
      </w:pPr>
      <w:r>
        <w:t>Automated completeness, lookup code, spelling, photo metadata and geometry checks on every data drop, with corrections by the partner within five business days.</w:t>
      </w:r>
    </w:p>
    <w:p>
      <w:pPr>
        <w:pStyle w:val="ListBullet"/>
        <w:spacing w:after="40"/>
      </w:pPr>
      <w:r>
        <w:t>A single comments and actions register shared with Council's project team, closed out before each deliverable is issued.</w:t>
      </w:r>
    </w:p>
    <w:p>
      <w:pPr>
        <w:pStyle w:val="Heading2"/>
      </w:pPr>
      <w:r>
        <w:t>2.3   Risks and mitigations</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213"/>
        <w:gridCol w:w="6425"/>
      </w:tblGrid>
      <w:tr>
        <w:trPr>
          <w:tblHeader/>
          <w:cantSplit/>
        </w:trPr>
        <w:tc>
          <w:tcPr>
            <w:tcW w:type="dxa" w:w="3213"/>
            <w:shd w:val="clear" w:color="auto" w:fill="000000"/>
          </w:tcPr>
          <w:p>
            <w:pPr>
              <w:keepNext/>
            </w:pPr>
            <w:r/>
            <w:r>
              <w:rPr>
                <w:b/>
                <w:color w:val="FFFFFF"/>
                <w:sz w:val="17"/>
              </w:rPr>
              <w:t>Risk</w:t>
            </w:r>
          </w:p>
        </w:tc>
        <w:tc>
          <w:tcPr>
            <w:tcW w:type="dxa" w:w="6425"/>
            <w:shd w:val="clear" w:color="auto" w:fill="000000"/>
          </w:tcPr>
          <w:p>
            <w:pPr>
              <w:keepNext/>
            </w:pPr>
            <w:r/>
            <w:r>
              <w:rPr>
                <w:b/>
                <w:color w:val="FFFFFF"/>
                <w:sz w:val="17"/>
              </w:rPr>
              <w:t>Mitigation</w:t>
            </w:r>
          </w:p>
        </w:tc>
      </w:tr>
      <w:tr>
        <w:trPr>
          <w:cantSplit/>
        </w:trPr>
        <w:tc>
          <w:tcPr>
            <w:tcW w:type="dxa" w:w="3213"/>
          </w:tcPr>
          <w:p>
            <w:pPr>
              <w:keepNext/>
              <w:spacing w:after="20"/>
            </w:pPr>
            <w:r/>
            <w:r>
              <w:rPr>
                <w:sz w:val="17"/>
              </w:rPr>
              <w:t>Short program: award late November, Christmas shutdown, completion 31/03/2027</w:t>
            </w:r>
          </w:p>
        </w:tc>
        <w:tc>
          <w:tcPr>
            <w:tcW w:type="dxa" w:w="6425"/>
          </w:tcPr>
          <w:p>
            <w:pPr>
              <w:keepNext/>
              <w:spacing w:after="20"/>
            </w:pPr>
            <w:r/>
            <w:r>
              <w:rPr>
                <w:sz w:val="17"/>
              </w:rPr>
              <w:t>Forms, definitions and revaluation methodology prepared in December and January in parallel with the pilot; crews sized by the partner for a five-week network capture; capture starts the day after pilot approval.</w:t>
            </w:r>
          </w:p>
        </w:tc>
      </w:tr>
      <w:tr>
        <w:trPr>
          <w:cantSplit/>
        </w:trPr>
        <w:tc>
          <w:tcPr>
            <w:tcW w:type="dxa" w:w="3213"/>
            <w:shd w:val="clear" w:color="auto" w:fill="F7F7F7"/>
          </w:tcPr>
          <w:p>
            <w:pPr>
              <w:spacing w:after="20"/>
            </w:pPr>
            <w:r/>
            <w:r>
              <w:rPr>
                <w:sz w:val="17"/>
              </w:rPr>
              <w:t>Quantity risk (no variation for extra assets)</w:t>
            </w:r>
          </w:p>
        </w:tc>
        <w:tc>
          <w:tcPr>
            <w:tcW w:type="dxa" w:w="6425"/>
            <w:shd w:val="clear" w:color="auto" w:fill="F7F7F7"/>
          </w:tcPr>
          <w:p>
            <w:pPr>
              <w:spacing w:after="20"/>
            </w:pPr>
            <w:r/>
            <w:r>
              <w:rPr>
                <w:sz w:val="17"/>
              </w:rPr>
              <w:t>Partner lump sums priced on Council's quantities with an allowance for additional assets; weekly capture counts tracked against the register.</w:t>
            </w:r>
          </w:p>
        </w:tc>
      </w:tr>
      <w:tr>
        <w:trPr>
          <w:cantSplit/>
        </w:trPr>
        <w:tc>
          <w:tcPr>
            <w:tcW w:type="dxa" w:w="3213"/>
          </w:tcPr>
          <w:p>
            <w:pPr>
              <w:spacing w:after="20"/>
            </w:pPr>
            <w:r/>
            <w:r>
              <w:rPr>
                <w:sz w:val="17"/>
              </w:rPr>
              <w:t>Inconsistent ratings between crews</w:t>
            </w:r>
          </w:p>
        </w:tc>
        <w:tc>
          <w:tcPr>
            <w:tcW w:type="dxa" w:w="6425"/>
          </w:tcPr>
          <w:p>
            <w:pPr>
              <w:spacing w:after="20"/>
            </w:pPr>
            <w:r/>
            <w:r>
              <w:rPr>
                <w:sz w:val="17"/>
              </w:rPr>
              <w:t>Calibration, JCE's weekly 5% desktop re-rating of partner imagery, retraining triggers (Section 2.2).</w:t>
            </w:r>
          </w:p>
        </w:tc>
      </w:tr>
      <w:tr>
        <w:trPr>
          <w:cantSplit/>
        </w:trPr>
        <w:tc>
          <w:tcPr>
            <w:tcW w:type="dxa" w:w="3213"/>
            <w:shd w:val="clear" w:color="auto" w:fill="F7F7F7"/>
          </w:tcPr>
          <w:p>
            <w:pPr>
              <w:spacing w:after="20"/>
            </w:pPr>
            <w:r/>
            <w:r>
              <w:rPr>
                <w:sz w:val="17"/>
              </w:rPr>
              <w:t>Sole-practitioner capacity in March</w:t>
            </w:r>
          </w:p>
        </w:tc>
        <w:tc>
          <w:tcPr>
            <w:tcW w:type="dxa" w:w="6425"/>
            <w:shd w:val="clear" w:color="auto" w:fill="F7F7F7"/>
          </w:tcPr>
          <w:p>
            <w:pPr>
              <w:spacing w:after="20"/>
            </w:pPr>
            <w:r/>
            <w:r>
              <w:rPr>
                <w:sz w:val="17"/>
              </w:rPr>
              <w:t>Jayden's hours are capped at about 36 a week (Section 5.1): a casual GIS technician carries the GIS build, register files and maps, Sunny Lotay shares audit sampling, and the revaluation model and report frameworks are built in February.</w:t>
            </w:r>
          </w:p>
        </w:tc>
      </w:tr>
      <w:tr>
        <w:trPr>
          <w:cantSplit/>
        </w:trPr>
        <w:tc>
          <w:tcPr>
            <w:tcW w:type="dxa" w:w="3213"/>
          </w:tcPr>
          <w:p>
            <w:pPr>
              <w:spacing w:after="20"/>
            </w:pPr>
            <w:r/>
            <w:r>
              <w:rPr>
                <w:sz w:val="17"/>
              </w:rPr>
              <w:t>Safety of field staff near traffic</w:t>
            </w:r>
          </w:p>
        </w:tc>
        <w:tc>
          <w:tcPr>
            <w:tcW w:type="dxa" w:w="6425"/>
          </w:tcPr>
          <w:p>
            <w:pPr>
              <w:spacing w:after="20"/>
            </w:pPr>
            <w:r/>
            <w:r>
              <w:rPr>
                <w:sz w:val="17"/>
              </w:rPr>
              <w:t>Vehicle capture at traffic speed with warning lights, footpath crews at walking pace, no work in live lanes without accredited traffic control to an approved traffic guidance scheme (Section 6.0).</w:t>
            </w:r>
          </w:p>
        </w:tc>
      </w:tr>
      <w:tr>
        <w:trPr>
          <w:cantSplit/>
        </w:trPr>
        <w:tc>
          <w:tcPr>
            <w:tcW w:type="dxa" w:w="3213"/>
            <w:shd w:val="clear" w:color="auto" w:fill="F7F7F7"/>
          </w:tcPr>
          <w:p>
            <w:pPr>
              <w:spacing w:after="20"/>
            </w:pPr>
            <w:r/>
            <w:r>
              <w:rPr>
                <w:sz w:val="17"/>
              </w:rPr>
              <w:t>Valuation challenged by Council's auditors</w:t>
            </w:r>
          </w:p>
        </w:tc>
        <w:tc>
          <w:tcPr>
            <w:tcW w:type="dxa" w:w="6425"/>
            <w:shd w:val="clear" w:color="auto" w:fill="F7F7F7"/>
          </w:tcPr>
          <w:p>
            <w:pPr>
              <w:spacing w:after="20"/>
            </w:pPr>
            <w:r/>
            <w:r>
              <w:rPr>
                <w:sz w:val="17"/>
              </w:rPr>
              <w:t>Methodology agreed with Council's finance team in January, every unit rate referenced, qualified valuer sign-off, working papers keyed to Asset_IDs.</w:t>
            </w:r>
          </w:p>
        </w:tc>
      </w:tr>
    </w:tbl>
    <w:p>
      <w:pPr>
        <w:spacing w:after="40"/>
      </w:pPr>
    </w:p>
    <w:p>
      <w:pPr>
        <w:pStyle w:val="Heading1"/>
        <w:pBdr>
          <w:bottom w:val="single" w:sz="6" w:space="1" w:color="C9A227"/>
        </w:pBdr>
      </w:pPr>
      <w:r>
        <w:t>3.0   Deliverables</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5783"/>
        <w:gridCol w:w="1928"/>
        <w:gridCol w:w="1928"/>
      </w:tblGrid>
      <w:tr>
        <w:trPr>
          <w:tblHeader/>
          <w:cantSplit/>
        </w:trPr>
        <w:tc>
          <w:tcPr>
            <w:tcW w:type="dxa" w:w="5783"/>
            <w:shd w:val="clear" w:color="auto" w:fill="000000"/>
          </w:tcPr>
          <w:p>
            <w:pPr>
              <w:keepNext/>
            </w:pPr>
            <w:r/>
            <w:r>
              <w:rPr>
                <w:b/>
                <w:color w:val="FFFFFF"/>
                <w:sz w:val="17"/>
              </w:rPr>
              <w:t>Deliverable</w:t>
            </w:r>
          </w:p>
        </w:tc>
        <w:tc>
          <w:tcPr>
            <w:tcW w:type="dxa" w:w="1928"/>
            <w:shd w:val="clear" w:color="auto" w:fill="000000"/>
          </w:tcPr>
          <w:p>
            <w:pPr>
              <w:keepNext/>
            </w:pPr>
            <w:r/>
            <w:r>
              <w:rPr>
                <w:b/>
                <w:color w:val="FFFFFF"/>
                <w:sz w:val="17"/>
              </w:rPr>
              <w:t>Format</w:t>
            </w:r>
          </w:p>
        </w:tc>
        <w:tc>
          <w:tcPr>
            <w:tcW w:type="dxa" w:w="1928"/>
            <w:shd w:val="clear" w:color="auto" w:fill="000000"/>
          </w:tcPr>
          <w:p>
            <w:pPr>
              <w:keepNext/>
            </w:pPr>
            <w:r/>
            <w:r>
              <w:rPr>
                <w:b/>
                <w:color w:val="FFFFFF"/>
                <w:sz w:val="17"/>
              </w:rPr>
              <w:t>Target date</w:t>
            </w:r>
          </w:p>
        </w:tc>
      </w:tr>
      <w:tr>
        <w:trPr>
          <w:cantSplit/>
        </w:trPr>
        <w:tc>
          <w:tcPr>
            <w:tcW w:type="dxa" w:w="5783"/>
          </w:tcPr>
          <w:p>
            <w:pPr>
              <w:keepNext/>
              <w:spacing w:after="20"/>
            </w:pPr>
            <w:r/>
            <w:r>
              <w:rPr>
                <w:sz w:val="17"/>
              </w:rPr>
              <w:t>Inception meeting agenda and minutes; project plan</w:t>
            </w:r>
          </w:p>
        </w:tc>
        <w:tc>
          <w:tcPr>
            <w:tcW w:type="dxa" w:w="1928"/>
          </w:tcPr>
          <w:p>
            <w:pPr>
              <w:keepNext/>
              <w:spacing w:after="20"/>
            </w:pPr>
            <w:r/>
            <w:r>
              <w:rPr>
                <w:sz w:val="17"/>
              </w:rPr>
              <w:t>PDF</w:t>
            </w:r>
          </w:p>
        </w:tc>
        <w:tc>
          <w:tcPr>
            <w:tcW w:type="dxa" w:w="1928"/>
          </w:tcPr>
          <w:p>
            <w:pPr>
              <w:keepNext/>
              <w:spacing w:after="20"/>
            </w:pPr>
            <w:r/>
            <w:r>
              <w:rPr>
                <w:sz w:val="17"/>
              </w:rPr>
              <w:t>08/12/2026</w:t>
            </w:r>
          </w:p>
        </w:tc>
      </w:tr>
      <w:tr>
        <w:trPr>
          <w:cantSplit/>
        </w:trPr>
        <w:tc>
          <w:tcPr>
            <w:tcW w:type="dxa" w:w="5783"/>
            <w:shd w:val="clear" w:color="auto" w:fill="F7F7F7"/>
          </w:tcPr>
          <w:p>
            <w:pPr>
              <w:spacing w:after="20"/>
            </w:pPr>
            <w:r/>
            <w:r>
              <w:rPr>
                <w:sz w:val="17"/>
              </w:rPr>
              <w:t>Capture forms, data definitions, condition criteria, audit methodology and QA plan</w:t>
            </w:r>
          </w:p>
        </w:tc>
        <w:tc>
          <w:tcPr>
            <w:tcW w:type="dxa" w:w="1928"/>
            <w:shd w:val="clear" w:color="auto" w:fill="F7F7F7"/>
          </w:tcPr>
          <w:p>
            <w:pPr>
              <w:spacing w:after="20"/>
            </w:pPr>
            <w:r/>
            <w:r>
              <w:rPr>
                <w:sz w:val="17"/>
              </w:rPr>
              <w:t>PDF and XLSX</w:t>
            </w:r>
          </w:p>
        </w:tc>
        <w:tc>
          <w:tcPr>
            <w:tcW w:type="dxa" w:w="1928"/>
            <w:shd w:val="clear" w:color="auto" w:fill="F7F7F7"/>
          </w:tcPr>
          <w:p>
            <w:pPr>
              <w:spacing w:after="20"/>
            </w:pPr>
            <w:r/>
            <w:r>
              <w:rPr>
                <w:sz w:val="17"/>
              </w:rPr>
              <w:t>18/12/2026</w:t>
            </w:r>
          </w:p>
        </w:tc>
      </w:tr>
      <w:tr>
        <w:trPr>
          <w:cantSplit/>
        </w:trPr>
        <w:tc>
          <w:tcPr>
            <w:tcW w:type="dxa" w:w="5783"/>
          </w:tcPr>
          <w:p>
            <w:pPr>
              <w:spacing w:after="20"/>
            </w:pPr>
            <w:r/>
            <w:r>
              <w:rPr>
                <w:sz w:val="17"/>
              </w:rPr>
              <w:t>Revaluation methodology report</w:t>
            </w:r>
          </w:p>
        </w:tc>
        <w:tc>
          <w:tcPr>
            <w:tcW w:type="dxa" w:w="1928"/>
          </w:tcPr>
          <w:p>
            <w:pPr>
              <w:spacing w:after="20"/>
            </w:pPr>
            <w:r/>
            <w:r>
              <w:rPr>
                <w:sz w:val="17"/>
              </w:rPr>
              <w:t>PDF</w:t>
            </w:r>
          </w:p>
        </w:tc>
        <w:tc>
          <w:tcPr>
            <w:tcW w:type="dxa" w:w="1928"/>
          </w:tcPr>
          <w:p>
            <w:pPr>
              <w:spacing w:after="20"/>
            </w:pPr>
            <w:r/>
            <w:r>
              <w:rPr>
                <w:sz w:val="17"/>
              </w:rPr>
              <w:t>22/01/2027</w:t>
            </w:r>
          </w:p>
        </w:tc>
      </w:tr>
      <w:tr>
        <w:trPr>
          <w:cantSplit/>
        </w:trPr>
        <w:tc>
          <w:tcPr>
            <w:tcW w:type="dxa" w:w="5783"/>
            <w:shd w:val="clear" w:color="auto" w:fill="F7F7F7"/>
          </w:tcPr>
          <w:p>
            <w:pPr>
              <w:spacing w:after="20"/>
            </w:pPr>
            <w:r/>
            <w:r>
              <w:rPr>
                <w:sz w:val="17"/>
              </w:rPr>
              <w:t>Pilot sample data and review</w:t>
            </w:r>
          </w:p>
        </w:tc>
        <w:tc>
          <w:tcPr>
            <w:tcW w:type="dxa" w:w="1928"/>
            <w:shd w:val="clear" w:color="auto" w:fill="F7F7F7"/>
          </w:tcPr>
          <w:p>
            <w:pPr>
              <w:spacing w:after="20"/>
            </w:pPr>
            <w:r/>
            <w:r>
              <w:rPr>
                <w:sz w:val="17"/>
              </w:rPr>
              <w:t>XLSX, SHP, photos</w:t>
            </w:r>
          </w:p>
        </w:tc>
        <w:tc>
          <w:tcPr>
            <w:tcW w:type="dxa" w:w="1928"/>
            <w:shd w:val="clear" w:color="auto" w:fill="F7F7F7"/>
          </w:tcPr>
          <w:p>
            <w:pPr>
              <w:spacing w:after="20"/>
            </w:pPr>
            <w:r/>
            <w:r>
              <w:rPr>
                <w:sz w:val="17"/>
              </w:rPr>
              <w:t>22/01/2027</w:t>
            </w:r>
          </w:p>
        </w:tc>
      </w:tr>
      <w:tr>
        <w:trPr>
          <w:cantSplit/>
        </w:trPr>
        <w:tc>
          <w:tcPr>
            <w:tcW w:type="dxa" w:w="5783"/>
          </w:tcPr>
          <w:p>
            <w:pPr>
              <w:spacing w:after="20"/>
            </w:pPr>
            <w:r/>
            <w:r>
              <w:rPr>
                <w:sz w:val="17"/>
              </w:rPr>
              <w:t>Very High and Extreme risk defect notices; road defect reports</w:t>
            </w:r>
          </w:p>
        </w:tc>
        <w:tc>
          <w:tcPr>
            <w:tcW w:type="dxa" w:w="1928"/>
          </w:tcPr>
          <w:p>
            <w:pPr>
              <w:spacing w:after="20"/>
            </w:pPr>
            <w:r/>
            <w:r>
              <w:rPr>
                <w:sz w:val="17"/>
              </w:rPr>
              <w:t>Email with image</w:t>
            </w:r>
          </w:p>
        </w:tc>
        <w:tc>
          <w:tcPr>
            <w:tcW w:type="dxa" w:w="1928"/>
          </w:tcPr>
          <w:p>
            <w:pPr>
              <w:spacing w:after="20"/>
            </w:pPr>
            <w:r/>
            <w:r>
              <w:rPr>
                <w:sz w:val="17"/>
              </w:rPr>
              <w:t>Same day; weekly</w:t>
            </w:r>
          </w:p>
        </w:tc>
      </w:tr>
      <w:tr>
        <w:trPr>
          <w:cantSplit/>
        </w:trPr>
        <w:tc>
          <w:tcPr>
            <w:tcW w:type="dxa" w:w="5783"/>
            <w:shd w:val="clear" w:color="auto" w:fill="F7F7F7"/>
          </w:tcPr>
          <w:p>
            <w:pPr>
              <w:spacing w:after="20"/>
            </w:pPr>
            <w:r/>
            <w:r>
              <w:rPr>
                <w:sz w:val="17"/>
              </w:rPr>
              <w:t>PCG agendas, minutes and actions; monthly progress reports</w:t>
            </w:r>
          </w:p>
        </w:tc>
        <w:tc>
          <w:tcPr>
            <w:tcW w:type="dxa" w:w="1928"/>
            <w:shd w:val="clear" w:color="auto" w:fill="F7F7F7"/>
          </w:tcPr>
          <w:p>
            <w:pPr>
              <w:spacing w:after="20"/>
            </w:pPr>
            <w:r/>
            <w:r>
              <w:rPr>
                <w:sz w:val="17"/>
              </w:rPr>
              <w:t>PDF</w:t>
            </w:r>
          </w:p>
        </w:tc>
        <w:tc>
          <w:tcPr>
            <w:tcW w:type="dxa" w:w="1928"/>
            <w:shd w:val="clear" w:color="auto" w:fill="F7F7F7"/>
          </w:tcPr>
          <w:p>
            <w:pPr>
              <w:spacing w:after="20"/>
            </w:pPr>
            <w:r/>
            <w:r>
              <w:rPr>
                <w:sz w:val="17"/>
              </w:rPr>
              <w:t>Fortnightly; monthly</w:t>
            </w:r>
          </w:p>
        </w:tc>
      </w:tr>
      <w:tr>
        <w:trPr>
          <w:cantSplit/>
        </w:trPr>
        <w:tc>
          <w:tcPr>
            <w:tcW w:type="dxa" w:w="5783"/>
          </w:tcPr>
          <w:p>
            <w:pPr>
              <w:spacing w:after="20"/>
            </w:pPr>
            <w:r/>
            <w:r>
              <w:rPr>
                <w:sz w:val="17"/>
              </w:rPr>
              <w:t>Audit data: Excel database, ESRI shapefiles, data dictionary, metadata, photographs</w:t>
            </w:r>
          </w:p>
        </w:tc>
        <w:tc>
          <w:tcPr>
            <w:tcW w:type="dxa" w:w="1928"/>
          </w:tcPr>
          <w:p>
            <w:pPr>
              <w:spacing w:after="20"/>
            </w:pPr>
            <w:r/>
            <w:r>
              <w:rPr>
                <w:sz w:val="17"/>
              </w:rPr>
              <w:t>XLSX, SHP, JPG</w:t>
            </w:r>
          </w:p>
        </w:tc>
        <w:tc>
          <w:tcPr>
            <w:tcW w:type="dxa" w:w="1928"/>
          </w:tcPr>
          <w:p>
            <w:pPr>
              <w:spacing w:after="20"/>
            </w:pPr>
            <w:r/>
            <w:r>
              <w:rPr>
                <w:sz w:val="17"/>
              </w:rPr>
              <w:t>12/03/2027</w:t>
            </w:r>
          </w:p>
        </w:tc>
      </w:tr>
      <w:tr>
        <w:trPr>
          <w:cantSplit/>
        </w:trPr>
        <w:tc>
          <w:tcPr>
            <w:tcW w:type="dxa" w:w="5783"/>
            <w:shd w:val="clear" w:color="auto" w:fill="F7F7F7"/>
          </w:tcPr>
          <w:p>
            <w:pPr>
              <w:spacing w:after="20"/>
            </w:pPr>
            <w:r/>
            <w:r>
              <w:rPr>
                <w:sz w:val="17"/>
              </w:rPr>
              <w:t>Initial asset inventory report, footpath maintenance program, renewal, upgrade and maintenance programs</w:t>
            </w:r>
          </w:p>
        </w:tc>
        <w:tc>
          <w:tcPr>
            <w:tcW w:type="dxa" w:w="1928"/>
            <w:shd w:val="clear" w:color="auto" w:fill="F7F7F7"/>
          </w:tcPr>
          <w:p>
            <w:pPr>
              <w:spacing w:after="20"/>
            </w:pPr>
            <w:r/>
            <w:r>
              <w:rPr>
                <w:sz w:val="17"/>
              </w:rPr>
              <w:t>PDF and XLSX</w:t>
            </w:r>
          </w:p>
        </w:tc>
        <w:tc>
          <w:tcPr>
            <w:tcW w:type="dxa" w:w="1928"/>
            <w:shd w:val="clear" w:color="auto" w:fill="F7F7F7"/>
          </w:tcPr>
          <w:p>
            <w:pPr>
              <w:spacing w:after="20"/>
            </w:pPr>
            <w:r/>
            <w:r>
              <w:rPr>
                <w:sz w:val="17"/>
              </w:rPr>
              <w:t>17/03/2027</w:t>
            </w:r>
          </w:p>
        </w:tc>
      </w:tr>
      <w:tr>
        <w:trPr>
          <w:cantSplit/>
        </w:trPr>
        <w:tc>
          <w:tcPr>
            <w:tcW w:type="dxa" w:w="5783"/>
          </w:tcPr>
          <w:p>
            <w:pPr>
              <w:spacing w:after="20"/>
            </w:pPr>
            <w:r/>
            <w:r>
              <w:rPr>
                <w:sz w:val="17"/>
              </w:rPr>
              <w:t>Draft revaluation report, calculations and working papers</w:t>
            </w:r>
          </w:p>
        </w:tc>
        <w:tc>
          <w:tcPr>
            <w:tcW w:type="dxa" w:w="1928"/>
          </w:tcPr>
          <w:p>
            <w:pPr>
              <w:spacing w:after="20"/>
            </w:pPr>
            <w:r/>
            <w:r>
              <w:rPr>
                <w:sz w:val="17"/>
              </w:rPr>
              <w:t>PDF and XLSX</w:t>
            </w:r>
          </w:p>
        </w:tc>
        <w:tc>
          <w:tcPr>
            <w:tcW w:type="dxa" w:w="1928"/>
          </w:tcPr>
          <w:p>
            <w:pPr>
              <w:spacing w:after="20"/>
            </w:pPr>
            <w:r/>
            <w:r>
              <w:rPr>
                <w:sz w:val="17"/>
              </w:rPr>
              <w:t>19/03/2027</w:t>
            </w:r>
          </w:p>
        </w:tc>
      </w:tr>
      <w:tr>
        <w:trPr>
          <w:cantSplit/>
        </w:trPr>
        <w:tc>
          <w:tcPr>
            <w:tcW w:type="dxa" w:w="5783"/>
            <w:shd w:val="clear" w:color="auto" w:fill="F7F7F7"/>
          </w:tcPr>
          <w:p>
            <w:pPr>
              <w:spacing w:after="20"/>
            </w:pPr>
            <w:r/>
            <w:r>
              <w:rPr>
                <w:sz w:val="17"/>
              </w:rPr>
              <w:t>Workshop (4 hours) and minutes</w:t>
            </w:r>
          </w:p>
        </w:tc>
        <w:tc>
          <w:tcPr>
            <w:tcW w:type="dxa" w:w="1928"/>
            <w:shd w:val="clear" w:color="auto" w:fill="F7F7F7"/>
          </w:tcPr>
          <w:p>
            <w:pPr>
              <w:spacing w:after="20"/>
            </w:pPr>
            <w:r/>
            <w:r>
              <w:rPr>
                <w:sz w:val="17"/>
              </w:rPr>
              <w:t>In person</w:t>
            </w:r>
          </w:p>
        </w:tc>
        <w:tc>
          <w:tcPr>
            <w:tcW w:type="dxa" w:w="1928"/>
            <w:shd w:val="clear" w:color="auto" w:fill="F7F7F7"/>
          </w:tcPr>
          <w:p>
            <w:pPr>
              <w:spacing w:after="20"/>
            </w:pPr>
            <w:r/>
            <w:r>
              <w:rPr>
                <w:sz w:val="17"/>
              </w:rPr>
              <w:t>24/03/2027</w:t>
            </w:r>
          </w:p>
        </w:tc>
      </w:tr>
      <w:tr>
        <w:trPr>
          <w:cantSplit/>
        </w:trPr>
        <w:tc>
          <w:tcPr>
            <w:tcW w:type="dxa" w:w="5783"/>
          </w:tcPr>
          <w:p>
            <w:pPr>
              <w:spacing w:after="20"/>
            </w:pPr>
            <w:r/>
            <w:r>
              <w:rPr>
                <w:sz w:val="17"/>
              </w:rPr>
              <w:t>Final report with executive summary; final revaluation report (signed)</w:t>
            </w:r>
          </w:p>
        </w:tc>
        <w:tc>
          <w:tcPr>
            <w:tcW w:type="dxa" w:w="1928"/>
          </w:tcPr>
          <w:p>
            <w:pPr>
              <w:spacing w:after="20"/>
            </w:pPr>
            <w:r/>
            <w:r>
              <w:rPr>
                <w:sz w:val="17"/>
              </w:rPr>
              <w:t>PDF</w:t>
            </w:r>
          </w:p>
        </w:tc>
        <w:tc>
          <w:tcPr>
            <w:tcW w:type="dxa" w:w="1928"/>
          </w:tcPr>
          <w:p>
            <w:pPr>
              <w:spacing w:after="20"/>
            </w:pPr>
            <w:r/>
            <w:r>
              <w:rPr>
                <w:sz w:val="17"/>
              </w:rPr>
              <w:t>31/03/2027</w:t>
            </w:r>
          </w:p>
        </w:tc>
      </w:tr>
      <w:tr>
        <w:trPr>
          <w:cantSplit/>
        </w:trPr>
        <w:tc>
          <w:tcPr>
            <w:tcW w:type="dxa" w:w="5783"/>
            <w:shd w:val="clear" w:color="auto" w:fill="F7F7F7"/>
          </w:tcPr>
          <w:p>
            <w:pPr>
              <w:spacing w:after="20"/>
            </w:pPr>
            <w:r/>
            <w:r>
              <w:rPr>
                <w:sz w:val="17"/>
              </w:rPr>
              <w:t>Optional Service A deliverables (if engaged)</w:t>
            </w:r>
          </w:p>
        </w:tc>
        <w:tc>
          <w:tcPr>
            <w:tcW w:type="dxa" w:w="1928"/>
            <w:shd w:val="clear" w:color="auto" w:fill="F7F7F7"/>
          </w:tcPr>
          <w:p>
            <w:pPr>
              <w:spacing w:after="20"/>
            </w:pPr>
            <w:r/>
            <w:r>
              <w:rPr>
                <w:sz w:val="17"/>
              </w:rPr>
              <w:t>PDF, SHP</w:t>
            </w:r>
          </w:p>
        </w:tc>
        <w:tc>
          <w:tcPr>
            <w:tcW w:type="dxa" w:w="1928"/>
            <w:shd w:val="clear" w:color="auto" w:fill="F7F7F7"/>
          </w:tcPr>
          <w:p>
            <w:pPr>
              <w:spacing w:after="20"/>
            </w:pPr>
            <w:r/>
            <w:r>
              <w:rPr>
                <w:sz w:val="17"/>
              </w:rPr>
              <w:t>By 30/06/2027</w:t>
            </w:r>
          </w:p>
        </w:tc>
      </w:tr>
    </w:tbl>
    <w:p>
      <w:pPr>
        <w:spacing w:after="40"/>
      </w:pPr>
    </w:p>
    <w:p>
      <w:pPr>
        <w:pStyle w:val="Heading1"/>
        <w:pBdr>
          <w:bottom w:val="single" w:sz="6" w:space="1" w:color="C9A227"/>
        </w:pBdr>
      </w:pPr>
      <w:r>
        <w:t>4.0   Program</w:t>
      </w:r>
    </w:p>
    <w:p>
      <w:r>
        <w:rPr>
          <w:i w:val="0"/>
        </w:rPr>
        <w:t>The program assumes award by 30/11/2026 and finishes the audit and revaluation by Council's deadline of 31/03/2027. Council review periods are assumed to be five business days, and 27 to 31 December are not business days. The Gantt chart below is also attached to Returnable 7.</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6425"/>
        <w:gridCol w:w="3213"/>
      </w:tblGrid>
      <w:tr>
        <w:trPr>
          <w:tblHeader/>
          <w:cantSplit/>
        </w:trPr>
        <w:tc>
          <w:tcPr>
            <w:tcW w:type="dxa" w:w="6425"/>
            <w:shd w:val="clear" w:color="auto" w:fill="000000"/>
          </w:tcPr>
          <w:p>
            <w:pPr>
              <w:keepNext/>
            </w:pPr>
            <w:r/>
            <w:r>
              <w:rPr>
                <w:b/>
                <w:color w:val="FFFFFF"/>
                <w:sz w:val="17"/>
              </w:rPr>
              <w:t>Milestone</w:t>
            </w:r>
          </w:p>
        </w:tc>
        <w:tc>
          <w:tcPr>
            <w:tcW w:type="dxa" w:w="3213"/>
            <w:shd w:val="clear" w:color="auto" w:fill="000000"/>
          </w:tcPr>
          <w:p>
            <w:pPr>
              <w:keepNext/>
            </w:pPr>
            <w:r/>
            <w:r>
              <w:rPr>
                <w:b/>
                <w:color w:val="FFFFFF"/>
                <w:sz w:val="17"/>
              </w:rPr>
              <w:t>Target date</w:t>
            </w:r>
          </w:p>
        </w:tc>
      </w:tr>
      <w:tr>
        <w:trPr>
          <w:cantSplit/>
        </w:trPr>
        <w:tc>
          <w:tcPr>
            <w:tcW w:type="dxa" w:w="6425"/>
          </w:tcPr>
          <w:p>
            <w:pPr>
              <w:keepNext/>
              <w:spacing w:after="20"/>
            </w:pPr>
            <w:r/>
            <w:r>
              <w:rPr>
                <w:sz w:val="17"/>
              </w:rPr>
              <w:t>Tender closes</w:t>
            </w:r>
          </w:p>
        </w:tc>
        <w:tc>
          <w:tcPr>
            <w:tcW w:type="dxa" w:w="3213"/>
          </w:tcPr>
          <w:p>
            <w:pPr>
              <w:keepNext/>
              <w:spacing w:after="20"/>
            </w:pPr>
            <w:r/>
            <w:r>
              <w:rPr>
                <w:sz w:val="17"/>
              </w:rPr>
              <w:t>2:00 pm, Wednesday 28/10/2026</w:t>
            </w:r>
          </w:p>
        </w:tc>
      </w:tr>
      <w:tr>
        <w:trPr>
          <w:cantSplit/>
        </w:trPr>
        <w:tc>
          <w:tcPr>
            <w:tcW w:type="dxa" w:w="6425"/>
            <w:shd w:val="clear" w:color="auto" w:fill="F7F7F7"/>
          </w:tcPr>
          <w:p>
            <w:pPr>
              <w:spacing w:after="20"/>
            </w:pPr>
            <w:r/>
            <w:r>
              <w:rPr>
                <w:sz w:val="17"/>
              </w:rPr>
              <w:t>Award (anticipated); start date</w:t>
            </w:r>
          </w:p>
        </w:tc>
        <w:tc>
          <w:tcPr>
            <w:tcW w:type="dxa" w:w="3213"/>
            <w:shd w:val="clear" w:color="auto" w:fill="F7F7F7"/>
          </w:tcPr>
          <w:p>
            <w:pPr>
              <w:spacing w:after="20"/>
            </w:pPr>
            <w:r/>
            <w:r>
              <w:rPr>
                <w:sz w:val="17"/>
              </w:rPr>
              <w:t>By Monday 30/11/2026</w:t>
            </w:r>
          </w:p>
        </w:tc>
      </w:tr>
      <w:tr>
        <w:trPr>
          <w:cantSplit/>
        </w:trPr>
        <w:tc>
          <w:tcPr>
            <w:tcW w:type="dxa" w:w="6425"/>
          </w:tcPr>
          <w:p>
            <w:pPr>
              <w:spacing w:after="20"/>
            </w:pPr>
            <w:r/>
            <w:r>
              <w:rPr>
                <w:sz w:val="17"/>
              </w:rPr>
              <w:t>Council data supplied</w:t>
            </w:r>
          </w:p>
        </w:tc>
        <w:tc>
          <w:tcPr>
            <w:tcW w:type="dxa" w:w="3213"/>
          </w:tcPr>
          <w:p>
            <w:pPr>
              <w:spacing w:after="20"/>
            </w:pPr>
            <w:r/>
            <w:r>
              <w:rPr>
                <w:sz w:val="17"/>
              </w:rPr>
              <w:t>By Friday 11/12/2026</w:t>
            </w:r>
          </w:p>
        </w:tc>
      </w:tr>
      <w:tr>
        <w:trPr>
          <w:cantSplit/>
        </w:trPr>
        <w:tc>
          <w:tcPr>
            <w:tcW w:type="dxa" w:w="6425"/>
            <w:shd w:val="clear" w:color="auto" w:fill="F7F7F7"/>
          </w:tcPr>
          <w:p>
            <w:pPr>
              <w:spacing w:after="20"/>
            </w:pPr>
            <w:r/>
            <w:r>
              <w:rPr>
                <w:sz w:val="17"/>
              </w:rPr>
              <w:t>Inception and stakeholder meetings at Council; field trial</w:t>
            </w:r>
          </w:p>
        </w:tc>
        <w:tc>
          <w:tcPr>
            <w:tcW w:type="dxa" w:w="3213"/>
            <w:shd w:val="clear" w:color="auto" w:fill="F7F7F7"/>
          </w:tcPr>
          <w:p>
            <w:pPr>
              <w:spacing w:after="20"/>
            </w:pPr>
            <w:r/>
            <w:r>
              <w:rPr>
                <w:sz w:val="17"/>
              </w:rPr>
              <w:t>08/12/2026 to 09/12/2026</w:t>
            </w:r>
          </w:p>
        </w:tc>
      </w:tr>
      <w:tr>
        <w:trPr>
          <w:cantSplit/>
        </w:trPr>
        <w:tc>
          <w:tcPr>
            <w:tcW w:type="dxa" w:w="6425"/>
          </w:tcPr>
          <w:p>
            <w:pPr>
              <w:spacing w:after="20"/>
            </w:pPr>
            <w:r/>
            <w:r>
              <w:rPr>
                <w:sz w:val="17"/>
              </w:rPr>
              <w:t>Capture forms, definitions, methodology and QA plan issued for approval</w:t>
            </w:r>
          </w:p>
        </w:tc>
        <w:tc>
          <w:tcPr>
            <w:tcW w:type="dxa" w:w="3213"/>
          </w:tcPr>
          <w:p>
            <w:pPr>
              <w:spacing w:after="20"/>
            </w:pPr>
            <w:r/>
            <w:r>
              <w:rPr>
                <w:sz w:val="17"/>
              </w:rPr>
              <w:t>Friday 18/12/2026</w:t>
            </w:r>
          </w:p>
        </w:tc>
      </w:tr>
      <w:tr>
        <w:trPr>
          <w:cantSplit/>
        </w:trPr>
        <w:tc>
          <w:tcPr>
            <w:tcW w:type="dxa" w:w="6425"/>
            <w:shd w:val="clear" w:color="auto" w:fill="F7F7F7"/>
          </w:tcPr>
          <w:p>
            <w:pPr>
              <w:spacing w:after="20"/>
            </w:pPr>
            <w:r/>
            <w:r>
              <w:rPr>
                <w:sz w:val="17"/>
              </w:rPr>
              <w:t>Pilot data collection (two weeks)</w:t>
            </w:r>
          </w:p>
        </w:tc>
        <w:tc>
          <w:tcPr>
            <w:tcW w:type="dxa" w:w="3213"/>
            <w:shd w:val="clear" w:color="auto" w:fill="F7F7F7"/>
          </w:tcPr>
          <w:p>
            <w:pPr>
              <w:spacing w:after="20"/>
            </w:pPr>
            <w:r/>
            <w:r>
              <w:rPr>
                <w:sz w:val="17"/>
              </w:rPr>
              <w:t>11/01/2027 to 22/01/2027</w:t>
            </w:r>
          </w:p>
        </w:tc>
      </w:tr>
      <w:tr>
        <w:trPr>
          <w:cantSplit/>
        </w:trPr>
        <w:tc>
          <w:tcPr>
            <w:tcW w:type="dxa" w:w="6425"/>
          </w:tcPr>
          <w:p>
            <w:pPr>
              <w:spacing w:after="20"/>
            </w:pPr>
            <w:r/>
            <w:r>
              <w:rPr>
                <w:sz w:val="17"/>
              </w:rPr>
              <w:t>Revaluation methodology report</w:t>
            </w:r>
          </w:p>
        </w:tc>
        <w:tc>
          <w:tcPr>
            <w:tcW w:type="dxa" w:w="3213"/>
          </w:tcPr>
          <w:p>
            <w:pPr>
              <w:spacing w:after="20"/>
            </w:pPr>
            <w:r/>
            <w:r>
              <w:rPr>
                <w:sz w:val="17"/>
              </w:rPr>
              <w:t>Friday 22/01/2027</w:t>
            </w:r>
          </w:p>
        </w:tc>
      </w:tr>
      <w:tr>
        <w:trPr>
          <w:cantSplit/>
        </w:trPr>
        <w:tc>
          <w:tcPr>
            <w:tcW w:type="dxa" w:w="6425"/>
            <w:shd w:val="clear" w:color="auto" w:fill="F7F7F7"/>
          </w:tcPr>
          <w:p>
            <w:pPr>
              <w:spacing w:after="20"/>
            </w:pPr>
            <w:r/>
            <w:r>
              <w:rPr>
                <w:sz w:val="17"/>
              </w:rPr>
              <w:t>Pilot review meeting and approval to proceed (hold point)</w:t>
            </w:r>
          </w:p>
        </w:tc>
        <w:tc>
          <w:tcPr>
            <w:tcW w:type="dxa" w:w="3213"/>
            <w:shd w:val="clear" w:color="auto" w:fill="F7F7F7"/>
          </w:tcPr>
          <w:p>
            <w:pPr>
              <w:spacing w:after="20"/>
            </w:pPr>
            <w:r/>
            <w:r>
              <w:rPr>
                <w:sz w:val="17"/>
              </w:rPr>
              <w:t>Thursday 28/01/2027</w:t>
            </w:r>
          </w:p>
        </w:tc>
      </w:tr>
      <w:tr>
        <w:trPr>
          <w:cantSplit/>
        </w:trPr>
        <w:tc>
          <w:tcPr>
            <w:tcW w:type="dxa" w:w="6425"/>
          </w:tcPr>
          <w:p>
            <w:pPr>
              <w:spacing w:after="20"/>
            </w:pPr>
            <w:r/>
            <w:r>
              <w:rPr>
                <w:sz w:val="17"/>
              </w:rPr>
              <w:t>Network capture and rating by the partner (all mandatory and selected optional classes)</w:t>
            </w:r>
          </w:p>
        </w:tc>
        <w:tc>
          <w:tcPr>
            <w:tcW w:type="dxa" w:w="3213"/>
          </w:tcPr>
          <w:p>
            <w:pPr>
              <w:spacing w:after="20"/>
            </w:pPr>
            <w:r/>
            <w:r>
              <w:rPr>
                <w:sz w:val="17"/>
              </w:rPr>
              <w:t>01/02/2027 to 05/03/2027</w:t>
            </w:r>
          </w:p>
        </w:tc>
      </w:tr>
      <w:tr>
        <w:trPr>
          <w:cantSplit/>
        </w:trPr>
        <w:tc>
          <w:tcPr>
            <w:tcW w:type="dxa" w:w="6425"/>
            <w:shd w:val="clear" w:color="auto" w:fill="F7F7F7"/>
          </w:tcPr>
          <w:p>
            <w:pPr>
              <w:spacing w:after="20"/>
            </w:pPr>
            <w:r/>
            <w:r>
              <w:rPr>
                <w:sz w:val="17"/>
              </w:rPr>
              <w:t>Weekly partner data drops; JCE desktop audit sampling and GIS build</w:t>
            </w:r>
          </w:p>
        </w:tc>
        <w:tc>
          <w:tcPr>
            <w:tcW w:type="dxa" w:w="3213"/>
            <w:shd w:val="clear" w:color="auto" w:fill="F7F7F7"/>
          </w:tcPr>
          <w:p>
            <w:pPr>
              <w:spacing w:after="20"/>
            </w:pPr>
            <w:r/>
            <w:r>
              <w:rPr>
                <w:sz w:val="17"/>
              </w:rPr>
              <w:t>08/02/2027 to 12/03/2027</w:t>
            </w:r>
          </w:p>
        </w:tc>
      </w:tr>
      <w:tr>
        <w:trPr>
          <w:cantSplit/>
        </w:trPr>
        <w:tc>
          <w:tcPr>
            <w:tcW w:type="dxa" w:w="6425"/>
          </w:tcPr>
          <w:p>
            <w:pPr>
              <w:spacing w:after="20"/>
            </w:pPr>
            <w:r/>
            <w:r>
              <w:rPr>
                <w:sz w:val="17"/>
              </w:rPr>
              <w:t>JCE field verification and partner audit visit</w:t>
            </w:r>
          </w:p>
        </w:tc>
        <w:tc>
          <w:tcPr>
            <w:tcW w:type="dxa" w:w="3213"/>
          </w:tcPr>
          <w:p>
            <w:pPr>
              <w:spacing w:after="20"/>
            </w:pPr>
            <w:r/>
            <w:r>
              <w:rPr>
                <w:sz w:val="17"/>
              </w:rPr>
              <w:t>09/02 to 11/02/2027</w:t>
            </w:r>
          </w:p>
        </w:tc>
      </w:tr>
      <w:tr>
        <w:trPr>
          <w:cantSplit/>
        </w:trPr>
        <w:tc>
          <w:tcPr>
            <w:tcW w:type="dxa" w:w="6425"/>
            <w:shd w:val="clear" w:color="auto" w:fill="F7F7F7"/>
          </w:tcPr>
          <w:p>
            <w:pPr>
              <w:spacing w:after="20"/>
            </w:pPr>
            <w:r/>
            <w:r>
              <w:rPr>
                <w:sz w:val="17"/>
              </w:rPr>
              <w:t>JCE asset register update files</w:t>
            </w:r>
          </w:p>
        </w:tc>
        <w:tc>
          <w:tcPr>
            <w:tcW w:type="dxa" w:w="3213"/>
            <w:shd w:val="clear" w:color="auto" w:fill="F7F7F7"/>
          </w:tcPr>
          <w:p>
            <w:pPr>
              <w:spacing w:after="20"/>
            </w:pPr>
            <w:r/>
            <w:r>
              <w:rPr>
                <w:sz w:val="17"/>
              </w:rPr>
              <w:t>01/03/2027 to 12/03/2027</w:t>
            </w:r>
          </w:p>
        </w:tc>
      </w:tr>
      <w:tr>
        <w:trPr>
          <w:cantSplit/>
        </w:trPr>
        <w:tc>
          <w:tcPr>
            <w:tcW w:type="dxa" w:w="6425"/>
          </w:tcPr>
          <w:p>
            <w:pPr>
              <w:spacing w:after="20"/>
            </w:pPr>
            <w:r/>
            <w:r>
              <w:rPr>
                <w:sz w:val="17"/>
              </w:rPr>
              <w:t>Unit rates, useful lives and remaining life relationships</w:t>
            </w:r>
          </w:p>
        </w:tc>
        <w:tc>
          <w:tcPr>
            <w:tcW w:type="dxa" w:w="3213"/>
          </w:tcPr>
          <w:p>
            <w:pPr>
              <w:spacing w:after="20"/>
            </w:pPr>
            <w:r/>
            <w:r>
              <w:rPr>
                <w:sz w:val="17"/>
              </w:rPr>
              <w:t>Friday 19/02/2027</w:t>
            </w:r>
          </w:p>
        </w:tc>
      </w:tr>
      <w:tr>
        <w:trPr>
          <w:cantSplit/>
        </w:trPr>
        <w:tc>
          <w:tcPr>
            <w:tcW w:type="dxa" w:w="6425"/>
            <w:shd w:val="clear" w:color="auto" w:fill="F7F7F7"/>
          </w:tcPr>
          <w:p>
            <w:pPr>
              <w:spacing w:after="20"/>
            </w:pPr>
            <w:r/>
            <w:r>
              <w:rPr>
                <w:sz w:val="17"/>
              </w:rPr>
              <w:t>Audit data and spatial layers complete (QA passed)</w:t>
            </w:r>
          </w:p>
        </w:tc>
        <w:tc>
          <w:tcPr>
            <w:tcW w:type="dxa" w:w="3213"/>
            <w:shd w:val="clear" w:color="auto" w:fill="F7F7F7"/>
          </w:tcPr>
          <w:p>
            <w:pPr>
              <w:spacing w:after="20"/>
            </w:pPr>
            <w:r/>
            <w:r>
              <w:rPr>
                <w:sz w:val="17"/>
              </w:rPr>
              <w:t>Friday 12/03/2027</w:t>
            </w:r>
          </w:p>
        </w:tc>
      </w:tr>
      <w:tr>
        <w:trPr>
          <w:cantSplit/>
        </w:trPr>
        <w:tc>
          <w:tcPr>
            <w:tcW w:type="dxa" w:w="6425"/>
          </w:tcPr>
          <w:p>
            <w:pPr>
              <w:spacing w:after="20"/>
            </w:pPr>
            <w:r/>
            <w:r>
              <w:rPr>
                <w:sz w:val="17"/>
              </w:rPr>
              <w:t>Initial asset inventory report, maintenance and renewal programs; workshop papers</w:t>
            </w:r>
          </w:p>
        </w:tc>
        <w:tc>
          <w:tcPr>
            <w:tcW w:type="dxa" w:w="3213"/>
          </w:tcPr>
          <w:p>
            <w:pPr>
              <w:spacing w:after="20"/>
            </w:pPr>
            <w:r/>
            <w:r>
              <w:rPr>
                <w:sz w:val="17"/>
              </w:rPr>
              <w:t>Wednesday 17/03/2027</w:t>
            </w:r>
          </w:p>
        </w:tc>
      </w:tr>
      <w:tr>
        <w:trPr>
          <w:cantSplit/>
        </w:trPr>
        <w:tc>
          <w:tcPr>
            <w:tcW w:type="dxa" w:w="6425"/>
            <w:shd w:val="clear" w:color="auto" w:fill="F7F7F7"/>
          </w:tcPr>
          <w:p>
            <w:pPr>
              <w:spacing w:after="20"/>
            </w:pPr>
            <w:r/>
            <w:r>
              <w:rPr>
                <w:sz w:val="17"/>
              </w:rPr>
              <w:t>Draft revaluation report and calculations</w:t>
            </w:r>
          </w:p>
        </w:tc>
        <w:tc>
          <w:tcPr>
            <w:tcW w:type="dxa" w:w="3213"/>
            <w:shd w:val="clear" w:color="auto" w:fill="F7F7F7"/>
          </w:tcPr>
          <w:p>
            <w:pPr>
              <w:spacing w:after="20"/>
            </w:pPr>
            <w:r/>
            <w:r>
              <w:rPr>
                <w:sz w:val="17"/>
              </w:rPr>
              <w:t>Friday 19/03/2027</w:t>
            </w:r>
          </w:p>
        </w:tc>
      </w:tr>
      <w:tr>
        <w:trPr>
          <w:cantSplit/>
        </w:trPr>
        <w:tc>
          <w:tcPr>
            <w:tcW w:type="dxa" w:w="6425"/>
          </w:tcPr>
          <w:p>
            <w:pPr>
              <w:spacing w:after="20"/>
            </w:pPr>
            <w:r/>
            <w:r>
              <w:rPr>
                <w:sz w:val="17"/>
              </w:rPr>
              <w:t>Workshop with Council staff (4 hours)</w:t>
            </w:r>
          </w:p>
        </w:tc>
        <w:tc>
          <w:tcPr>
            <w:tcW w:type="dxa" w:w="3213"/>
          </w:tcPr>
          <w:p>
            <w:pPr>
              <w:spacing w:after="20"/>
            </w:pPr>
            <w:r/>
            <w:r>
              <w:rPr>
                <w:sz w:val="17"/>
              </w:rPr>
              <w:t>Wednesday 24/03/2027</w:t>
            </w:r>
          </w:p>
        </w:tc>
      </w:tr>
      <w:tr>
        <w:trPr>
          <w:cantSplit/>
        </w:trPr>
        <w:tc>
          <w:tcPr>
            <w:tcW w:type="dxa" w:w="6425"/>
            <w:shd w:val="clear" w:color="auto" w:fill="F7F7F7"/>
          </w:tcPr>
          <w:p>
            <w:pPr>
              <w:spacing w:after="20"/>
            </w:pPr>
            <w:r/>
            <w:r>
              <w:rPr>
                <w:sz w:val="17"/>
              </w:rPr>
              <w:t>Practical completion: final report and final revaluation report</w:t>
            </w:r>
          </w:p>
        </w:tc>
        <w:tc>
          <w:tcPr>
            <w:tcW w:type="dxa" w:w="3213"/>
            <w:shd w:val="clear" w:color="auto" w:fill="F7F7F7"/>
          </w:tcPr>
          <w:p>
            <w:pPr>
              <w:spacing w:after="20"/>
            </w:pPr>
            <w:r/>
            <w:r>
              <w:rPr>
                <w:sz w:val="17"/>
              </w:rPr>
              <w:t>Wednesday 31/03/2027</w:t>
            </w:r>
          </w:p>
        </w:tc>
      </w:tr>
      <w:tr>
        <w:trPr>
          <w:cantSplit/>
        </w:trPr>
        <w:tc>
          <w:tcPr>
            <w:tcW w:type="dxa" w:w="6425"/>
          </w:tcPr>
          <w:p>
            <w:pPr>
              <w:spacing w:after="20"/>
            </w:pPr>
            <w:r/>
            <w:r>
              <w:rPr>
                <w:sz w:val="17"/>
              </w:rPr>
              <w:t>PCG meetings (Microsoft Teams)</w:t>
            </w:r>
          </w:p>
        </w:tc>
        <w:tc>
          <w:tcPr>
            <w:tcW w:type="dxa" w:w="3213"/>
          </w:tcPr>
          <w:p>
            <w:pPr>
              <w:spacing w:after="20"/>
            </w:pPr>
            <w:r/>
            <w:r>
              <w:rPr>
                <w:sz w:val="17"/>
              </w:rPr>
              <w:t>Fortnightly, 08/12/2026 to 31/03/2027</w:t>
            </w:r>
          </w:p>
        </w:tc>
      </w:tr>
      <w:tr>
        <w:trPr>
          <w:cantSplit/>
        </w:trPr>
        <w:tc>
          <w:tcPr>
            <w:tcW w:type="dxa" w:w="6425"/>
            <w:shd w:val="clear" w:color="auto" w:fill="F7F7F7"/>
          </w:tcPr>
          <w:p>
            <w:pPr>
              <w:spacing w:after="20"/>
            </w:pPr>
            <w:r/>
            <w:r>
              <w:rPr>
                <w:sz w:val="17"/>
              </w:rPr>
              <w:t>Optional Service A (if engaged)</w:t>
            </w:r>
          </w:p>
        </w:tc>
        <w:tc>
          <w:tcPr>
            <w:tcW w:type="dxa" w:w="3213"/>
            <w:shd w:val="clear" w:color="auto" w:fill="F7F7F7"/>
          </w:tcPr>
          <w:p>
            <w:pPr>
              <w:spacing w:after="20"/>
            </w:pPr>
            <w:r/>
            <w:r>
              <w:rPr>
                <w:sz w:val="17"/>
              </w:rPr>
              <w:t>April 2027 to 30/06/2027</w:t>
            </w:r>
          </w:p>
        </w:tc>
      </w:tr>
    </w:tbl>
    <w:p>
      <w:pPr>
        <w:spacing w:after="40"/>
      </w:pPr>
    </w:p>
    <w:p>
      <w:pPr>
        <w:jc w:val="center"/>
      </w:pPr>
      <w:r>
        <w:drawing>
          <wp:inline xmlns:a="http://schemas.openxmlformats.org/drawingml/2006/main" xmlns:pic="http://schemas.openxmlformats.org/drawingml/2006/picture">
            <wp:extent cx="6120000" cy="4005818"/>
            <wp:docPr id="1" name="Picture 1"/>
            <wp:cNvGraphicFramePr>
              <a:graphicFrameLocks noChangeAspect="1"/>
            </wp:cNvGraphicFramePr>
            <a:graphic>
              <a:graphicData uri="http://schemas.openxmlformats.org/drawingml/2006/picture">
                <pic:pic>
                  <pic:nvPicPr>
                    <pic:cNvPr id="0" name="JCE_RFT47-26_Gantt_RevG.png"/>
                    <pic:cNvPicPr/>
                  </pic:nvPicPr>
                  <pic:blipFill>
                    <a:blip r:embed="rId10"/>
                    <a:stretch>
                      <a:fillRect/>
                    </a:stretch>
                  </pic:blipFill>
                  <pic:spPr>
                    <a:xfrm>
                      <a:off x="0" y="0"/>
                      <a:ext cx="6120000" cy="4005818"/>
                    </a:xfrm>
                    <a:prstGeom prst="rect"/>
                  </pic:spPr>
                </pic:pic>
              </a:graphicData>
            </a:graphic>
          </wp:inline>
        </w:drawing>
      </w:r>
    </w:p>
    <w:p>
      <w:pPr>
        <w:pStyle w:val="Heading1"/>
        <w:pBdr>
          <w:bottom w:val="single" w:sz="6" w:space="1" w:color="C9A227"/>
        </w:pBdr>
      </w:pPr>
      <w:r>
        <w:t>5.0   Project team and experience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2387"/>
        <w:gridCol w:w="3121"/>
        <w:gridCol w:w="4130"/>
      </w:tblGrid>
      <w:tr>
        <w:trPr>
          <w:tblHeader/>
          <w:cantSplit/>
        </w:trPr>
        <w:tc>
          <w:tcPr>
            <w:tcW w:type="dxa" w:w="2387"/>
            <w:shd w:val="clear" w:color="auto" w:fill="000000"/>
          </w:tcPr>
          <w:p>
            <w:pPr>
              <w:keepNext/>
            </w:pPr>
            <w:r/>
            <w:r>
              <w:rPr>
                <w:b/>
                <w:color w:val="FFFFFF"/>
                <w:sz w:val="17"/>
              </w:rPr>
              <w:t>Role</w:t>
            </w:r>
          </w:p>
        </w:tc>
        <w:tc>
          <w:tcPr>
            <w:tcW w:type="dxa" w:w="3121"/>
            <w:shd w:val="clear" w:color="auto" w:fill="000000"/>
          </w:tcPr>
          <w:p>
            <w:pPr>
              <w:keepNext/>
            </w:pPr>
            <w:r/>
            <w:r>
              <w:rPr>
                <w:b/>
                <w:color w:val="FFFFFF"/>
                <w:sz w:val="17"/>
              </w:rPr>
              <w:t>Person</w:t>
            </w:r>
          </w:p>
        </w:tc>
        <w:tc>
          <w:tcPr>
            <w:tcW w:type="dxa" w:w="4130"/>
            <w:shd w:val="clear" w:color="auto" w:fill="000000"/>
          </w:tcPr>
          <w:p>
            <w:pPr>
              <w:keepNext/>
            </w:pPr>
            <w:r/>
            <w:r>
              <w:rPr>
                <w:b/>
                <w:color w:val="FFFFFF"/>
                <w:sz w:val="17"/>
              </w:rPr>
              <w:t>Responsibility</w:t>
            </w:r>
          </w:p>
        </w:tc>
      </w:tr>
      <w:tr>
        <w:trPr>
          <w:cantSplit/>
        </w:trPr>
        <w:tc>
          <w:tcPr>
            <w:tcW w:type="dxa" w:w="2387"/>
          </w:tcPr>
          <w:p>
            <w:pPr>
              <w:keepNext/>
              <w:spacing w:after="20"/>
            </w:pPr>
            <w:r/>
            <w:r>
              <w:rPr>
                <w:sz w:val="17"/>
              </w:rPr>
              <w:t>Project manager and Prime Contractor representative</w:t>
            </w:r>
          </w:p>
        </w:tc>
        <w:tc>
          <w:tcPr>
            <w:tcW w:type="dxa" w:w="3121"/>
          </w:tcPr>
          <w:p>
            <w:pPr>
              <w:keepNext/>
              <w:spacing w:after="20"/>
            </w:pPr>
            <w:r/>
            <w:r>
              <w:rPr>
                <w:sz w:val="17"/>
              </w:rPr>
              <w:t>Jayden Callen, BEng (Hons), MIEAust (JCE Director)</w:t>
            </w:r>
          </w:p>
        </w:tc>
        <w:tc>
          <w:tcPr>
            <w:tcW w:type="dxa" w:w="4130"/>
          </w:tcPr>
          <w:p>
            <w:pPr>
              <w:keepNext/>
              <w:spacing w:after="20"/>
            </w:pPr>
            <w:r/>
            <w:r>
              <w:rPr>
                <w:sz w:val="17"/>
              </w:rPr>
              <w:t>Single point of contact; methodology, QA, defect escalation, reports, maintenance and renewal programs, revaluation, workshop and PCG; signs all documents</w:t>
            </w:r>
          </w:p>
        </w:tc>
      </w:tr>
      <w:tr>
        <w:trPr>
          <w:cantSplit/>
        </w:trPr>
        <w:tc>
          <w:tcPr>
            <w:tcW w:type="dxa" w:w="2387"/>
            <w:shd w:val="clear" w:color="auto" w:fill="F7F7F7"/>
          </w:tcPr>
          <w:p>
            <w:pPr>
              <w:spacing w:after="20"/>
            </w:pPr>
            <w:r/>
            <w:r>
              <w:rPr>
                <w:sz w:val="17"/>
              </w:rPr>
              <w:t>Associate Principal Engineer and certifying engineer (core team)</w:t>
            </w:r>
          </w:p>
        </w:tc>
        <w:tc>
          <w:tcPr>
            <w:tcW w:type="dxa" w:w="3121"/>
            <w:shd w:val="clear" w:color="auto" w:fill="F7F7F7"/>
          </w:tcPr>
          <w:p>
            <w:pPr>
              <w:spacing w:after="20"/>
            </w:pPr>
            <w:r/>
            <w:r>
              <w:rPr>
                <w:sz w:val="17"/>
              </w:rPr>
              <w:t>Sunny Lotay, Associate Principal Engineer (RPEQ, NER), Lotay Civil: engaged by JCE under a standing associate agreement as technical reviewer and certifying engineer on JCE commissions.</w:t>
            </w:r>
          </w:p>
        </w:tc>
        <w:tc>
          <w:tcPr>
            <w:tcW w:type="dxa" w:w="4130"/>
            <w:shd w:val="clear" w:color="auto" w:fill="F7F7F7"/>
          </w:tcPr>
          <w:p>
            <w:pPr>
              <w:spacing w:after="20"/>
            </w:pPr>
            <w:r/>
            <w:r>
              <w:rPr>
                <w:sz w:val="17"/>
              </w:rPr>
              <w:t>Independent technical review of outputs; certification and sign-off where a registered engineer is required; audit sampling and programs support; backup project lead</w:t>
            </w:r>
          </w:p>
        </w:tc>
      </w:tr>
      <w:tr>
        <w:trPr>
          <w:cantSplit/>
        </w:trPr>
        <w:tc>
          <w:tcPr>
            <w:tcW w:type="dxa" w:w="2387"/>
          </w:tcPr>
          <w:p>
            <w:pPr>
              <w:spacing w:after="20"/>
            </w:pPr>
            <w:r/>
            <w:r>
              <w:rPr>
                <w:sz w:val="17"/>
              </w:rPr>
              <w:t>Independent technical reviewer</w:t>
            </w:r>
          </w:p>
        </w:tc>
        <w:tc>
          <w:tcPr>
            <w:tcW w:type="dxa" w:w="3121"/>
          </w:tcPr>
          <w:p>
            <w:pPr>
              <w:spacing w:after="20"/>
            </w:pPr>
            <w:r/>
            <w:r>
              <w:rPr>
                <w:sz w:val="17"/>
              </w:rPr>
              <w:t>Livio Chiarot, FIEAust (SCP Consulting) [TBC - Jayden: confirm availability]</w:t>
            </w:r>
          </w:p>
        </w:tc>
        <w:tc>
          <w:tcPr>
            <w:tcW w:type="dxa" w:w="4130"/>
          </w:tcPr>
          <w:p>
            <w:pPr>
              <w:spacing w:after="20"/>
            </w:pPr>
            <w:r/>
            <w:r>
              <w:rPr>
                <w:sz w:val="17"/>
              </w:rPr>
              <w:t>Review of the methodology, pavement ratings and unit rates</w:t>
            </w:r>
          </w:p>
        </w:tc>
      </w:tr>
      <w:tr>
        <w:trPr>
          <w:cantSplit/>
        </w:trPr>
        <w:tc>
          <w:tcPr>
            <w:tcW w:type="dxa" w:w="2387"/>
            <w:shd w:val="clear" w:color="auto" w:fill="F7F7F7"/>
          </w:tcPr>
          <w:p>
            <w:pPr>
              <w:spacing w:after="20"/>
            </w:pPr>
            <w:r/>
            <w:r>
              <w:rPr>
                <w:sz w:val="17"/>
              </w:rPr>
              <w:t>GIS technician (casual)</w:t>
            </w:r>
          </w:p>
        </w:tc>
        <w:tc>
          <w:tcPr>
            <w:tcW w:type="dxa" w:w="3121"/>
            <w:shd w:val="clear" w:color="auto" w:fill="F7F7F7"/>
          </w:tcPr>
          <w:p>
            <w:pPr>
              <w:spacing w:after="20"/>
            </w:pPr>
            <w:r/>
            <w:r>
              <w:rPr>
                <w:sz w:val="17"/>
              </w:rPr>
              <w:t>[TBC - Jayden: name]</w:t>
            </w:r>
          </w:p>
        </w:tc>
        <w:tc>
          <w:tcPr>
            <w:tcW w:type="dxa" w:w="4130"/>
            <w:shd w:val="clear" w:color="auto" w:fill="F7F7F7"/>
          </w:tcPr>
          <w:p>
            <w:pPr>
              <w:spacing w:after="20"/>
            </w:pPr>
            <w:r/>
            <w:r>
              <w:rPr>
                <w:sz w:val="17"/>
              </w:rPr>
              <w:t>GIS build, register update files, automated QA and maps under Jayden's review (February and March 2027)</w:t>
            </w:r>
          </w:p>
        </w:tc>
      </w:tr>
      <w:tr>
        <w:trPr>
          <w:cantSplit/>
        </w:trPr>
        <w:tc>
          <w:tcPr>
            <w:tcW w:type="dxa" w:w="2387"/>
          </w:tcPr>
          <w:p>
            <w:pPr>
              <w:spacing w:after="20"/>
            </w:pPr>
            <w:r/>
            <w:r>
              <w:rPr>
                <w:sz w:val="17"/>
              </w:rPr>
              <w:t>Field data capture partner</w:t>
            </w:r>
          </w:p>
        </w:tc>
        <w:tc>
          <w:tcPr>
            <w:tcW w:type="dxa" w:w="3121"/>
          </w:tcPr>
          <w:p>
            <w:pPr>
              <w:spacing w:after="20"/>
            </w:pPr>
            <w:r/>
            <w:r>
              <w:rPr>
                <w:sz w:val="17"/>
              </w:rPr>
              <w:t>[TBC - Jayden: firm and field lead, from quotes due 21/10/2026]</w:t>
            </w:r>
          </w:p>
        </w:tc>
        <w:tc>
          <w:tcPr>
            <w:tcW w:type="dxa" w:w="4130"/>
          </w:tcPr>
          <w:p>
            <w:pPr>
              <w:spacing w:after="20"/>
            </w:pPr>
            <w:r/>
            <w:r>
              <w:rPr>
                <w:sz w:val="17"/>
              </w:rPr>
              <w:t>Field crews, vehicles, DGPS and photography, condition rating, data packaging to JCE's schema</w:t>
            </w:r>
          </w:p>
        </w:tc>
      </w:tr>
      <w:tr>
        <w:trPr>
          <w:cantSplit/>
        </w:trPr>
        <w:tc>
          <w:tcPr>
            <w:tcW w:type="dxa" w:w="2387"/>
            <w:shd w:val="clear" w:color="auto" w:fill="F7F7F7"/>
          </w:tcPr>
          <w:p>
            <w:pPr>
              <w:spacing w:after="20"/>
            </w:pPr>
            <w:r/>
            <w:r>
              <w:rPr>
                <w:sz w:val="17"/>
              </w:rPr>
              <w:t>Valuation partner</w:t>
            </w:r>
          </w:p>
        </w:tc>
        <w:tc>
          <w:tcPr>
            <w:tcW w:type="dxa" w:w="3121"/>
            <w:shd w:val="clear" w:color="auto" w:fill="F7F7F7"/>
          </w:tcPr>
          <w:p>
            <w:pPr>
              <w:spacing w:after="20"/>
            </w:pPr>
            <w:r/>
            <w:r>
              <w:rPr>
                <w:sz w:val="17"/>
              </w:rPr>
              <w:t>[TBC - Jayden: firm and signing valuer, from quotes due 21/10/2026]</w:t>
            </w:r>
          </w:p>
        </w:tc>
        <w:tc>
          <w:tcPr>
            <w:tcW w:type="dxa" w:w="4130"/>
            <w:shd w:val="clear" w:color="auto" w:fill="F7F7F7"/>
          </w:tcPr>
          <w:p>
            <w:pPr>
              <w:spacing w:after="20"/>
            </w:pPr>
            <w:r/>
            <w:r>
              <w:rPr>
                <w:sz w:val="17"/>
              </w:rPr>
              <w:t>Review and signing of the revaluation; artwork valuation advice</w:t>
            </w:r>
          </w:p>
        </w:tc>
      </w:tr>
    </w:tbl>
    <w:p>
      <w:pPr>
        <w:spacing w:after="40"/>
      </w:pPr>
    </w:p>
    <w:p>
      <w:pPr>
        <w:pStyle w:val="Heading2"/>
      </w:pPr>
      <w:r>
        <w:t>How Jayden manages the team</w:t>
      </w:r>
    </w:p>
    <w:p>
      <w:pPr>
        <w:pStyle w:val="ListBullet"/>
        <w:spacing w:after="40"/>
      </w:pPr>
      <w:r>
        <w:t>One program covering JCE and both partners, updated fortnightly for the PCG.</w:t>
      </w:r>
    </w:p>
    <w:p>
      <w:pPr>
        <w:pStyle w:val="ListBullet"/>
        <w:spacing w:after="40"/>
      </w:pPr>
      <w:r>
        <w:t>Defined hold points: Council approval of forms and definitions, and of the pilot, before network capture; methodology agreed with Council's finance team before calculations start.</w:t>
      </w:r>
    </w:p>
    <w:p>
      <w:pPr>
        <w:pStyle w:val="ListBullet"/>
        <w:spacing w:after="40"/>
      </w:pPr>
      <w:r>
        <w:t>JCE review of every partner output before it reaches Council, with one comments and actions register.</w:t>
      </w:r>
    </w:p>
    <w:p>
      <w:pPr>
        <w:pStyle w:val="ListBullet"/>
        <w:spacing w:after="40"/>
      </w:pPr>
      <w:r>
        <w:t>Jayden accountable to Council for all of it, including the partners' work (clause 4 of the Consultancy Agreement).</w:t>
      </w:r>
    </w:p>
    <w:p>
      <w:pPr>
        <w:pStyle w:val="Heading2"/>
      </w:pPr>
      <w:r>
        <w:t>5.1   Resourcing against the program</w:t>
      </w:r>
    </w:p>
    <w:p>
      <w:r>
        <w:rPr>
          <w:i w:val="0"/>
        </w:rPr>
        <w:t>JCE's hours by month, with weekly loads for Jayden (working weeks to 31/03/2027, excluding 27 to 31 December):</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2728"/>
        <w:gridCol w:w="1455"/>
        <w:gridCol w:w="1455"/>
        <w:gridCol w:w="1455"/>
        <w:gridCol w:w="1455"/>
        <w:gridCol w:w="1091"/>
      </w:tblGrid>
      <w:tr>
        <w:trPr>
          <w:tblHeader/>
          <w:cantSplit/>
        </w:trPr>
        <w:tc>
          <w:tcPr>
            <w:tcW w:type="dxa" w:w="2728"/>
            <w:shd w:val="clear" w:color="auto" w:fill="000000"/>
          </w:tcPr>
          <w:p>
            <w:pPr>
              <w:keepNext/>
            </w:pPr>
            <w:r/>
            <w:r>
              <w:rPr>
                <w:b/>
                <w:color w:val="FFFFFF"/>
                <w:sz w:val="17"/>
              </w:rPr>
              <w:t>Person</w:t>
            </w:r>
          </w:p>
        </w:tc>
        <w:tc>
          <w:tcPr>
            <w:tcW w:type="dxa" w:w="1455"/>
            <w:shd w:val="clear" w:color="auto" w:fill="000000"/>
          </w:tcPr>
          <w:p>
            <w:pPr>
              <w:keepNext/>
            </w:pPr>
            <w:r/>
            <w:r>
              <w:rPr>
                <w:b/>
                <w:color w:val="FFFFFF"/>
                <w:sz w:val="17"/>
              </w:rPr>
              <w:t>Dec 2026</w:t>
            </w:r>
          </w:p>
        </w:tc>
        <w:tc>
          <w:tcPr>
            <w:tcW w:type="dxa" w:w="1455"/>
            <w:shd w:val="clear" w:color="auto" w:fill="000000"/>
          </w:tcPr>
          <w:p>
            <w:pPr>
              <w:keepNext/>
            </w:pPr>
            <w:r/>
            <w:r>
              <w:rPr>
                <w:b/>
                <w:color w:val="FFFFFF"/>
                <w:sz w:val="17"/>
              </w:rPr>
              <w:t>Jan 2027</w:t>
            </w:r>
          </w:p>
        </w:tc>
        <w:tc>
          <w:tcPr>
            <w:tcW w:type="dxa" w:w="1455"/>
            <w:shd w:val="clear" w:color="auto" w:fill="000000"/>
          </w:tcPr>
          <w:p>
            <w:pPr>
              <w:keepNext/>
            </w:pPr>
            <w:r/>
            <w:r>
              <w:rPr>
                <w:b/>
                <w:color w:val="FFFFFF"/>
                <w:sz w:val="17"/>
              </w:rPr>
              <w:t>Feb 2027</w:t>
            </w:r>
          </w:p>
        </w:tc>
        <w:tc>
          <w:tcPr>
            <w:tcW w:type="dxa" w:w="1455"/>
            <w:shd w:val="clear" w:color="auto" w:fill="000000"/>
          </w:tcPr>
          <w:p>
            <w:pPr>
              <w:keepNext/>
            </w:pPr>
            <w:r/>
            <w:r>
              <w:rPr>
                <w:b/>
                <w:color w:val="FFFFFF"/>
                <w:sz w:val="17"/>
              </w:rPr>
              <w:t>Mar 2027</w:t>
            </w:r>
          </w:p>
        </w:tc>
        <w:tc>
          <w:tcPr>
            <w:tcW w:type="dxa" w:w="1091"/>
            <w:shd w:val="clear" w:color="auto" w:fill="000000"/>
          </w:tcPr>
          <w:p>
            <w:pPr>
              <w:keepNext/>
            </w:pPr>
            <w:r/>
            <w:r>
              <w:rPr>
                <w:b/>
                <w:color w:val="FFFFFF"/>
                <w:sz w:val="17"/>
              </w:rPr>
              <w:t>Total</w:t>
            </w:r>
          </w:p>
        </w:tc>
      </w:tr>
      <w:tr>
        <w:trPr>
          <w:cantSplit/>
        </w:trPr>
        <w:tc>
          <w:tcPr>
            <w:tcW w:type="dxa" w:w="2728"/>
          </w:tcPr>
          <w:p>
            <w:pPr>
              <w:keepNext/>
              <w:spacing w:after="20"/>
            </w:pPr>
            <w:r/>
            <w:r>
              <w:rPr>
                <w:sz w:val="17"/>
              </w:rPr>
              <w:t>Jayden Callen</w:t>
            </w:r>
          </w:p>
        </w:tc>
        <w:tc>
          <w:tcPr>
            <w:tcW w:type="dxa" w:w="1455"/>
          </w:tcPr>
          <w:p>
            <w:pPr>
              <w:keepNext/>
              <w:spacing w:after="20"/>
            </w:pPr>
            <w:r/>
            <w:r>
              <w:rPr>
                <w:sz w:val="17"/>
              </w:rPr>
              <w:t>75 h (22/wk)</w:t>
            </w:r>
          </w:p>
        </w:tc>
        <w:tc>
          <w:tcPr>
            <w:tcW w:type="dxa" w:w="1455"/>
          </w:tcPr>
          <w:p>
            <w:pPr>
              <w:keepNext/>
              <w:spacing w:after="20"/>
            </w:pPr>
            <w:r/>
            <w:r>
              <w:rPr>
                <w:sz w:val="17"/>
              </w:rPr>
              <w:t>95 h (25/wk)</w:t>
            </w:r>
          </w:p>
        </w:tc>
        <w:tc>
          <w:tcPr>
            <w:tcW w:type="dxa" w:w="1455"/>
          </w:tcPr>
          <w:p>
            <w:pPr>
              <w:keepNext/>
              <w:spacing w:after="20"/>
            </w:pPr>
            <w:r/>
            <w:r>
              <w:rPr>
                <w:sz w:val="17"/>
              </w:rPr>
              <w:t>128 h (32/wk)</w:t>
            </w:r>
          </w:p>
        </w:tc>
        <w:tc>
          <w:tcPr>
            <w:tcW w:type="dxa" w:w="1455"/>
          </w:tcPr>
          <w:p>
            <w:pPr>
              <w:keepNext/>
              <w:spacing w:after="20"/>
            </w:pPr>
            <w:r/>
            <w:r>
              <w:rPr>
                <w:sz w:val="17"/>
              </w:rPr>
              <w:t>158 h (36/wk)</w:t>
            </w:r>
          </w:p>
        </w:tc>
        <w:tc>
          <w:tcPr>
            <w:tcW w:type="dxa" w:w="1091"/>
          </w:tcPr>
          <w:p>
            <w:pPr>
              <w:keepNext/>
              <w:spacing w:after="20"/>
            </w:pPr>
            <w:r/>
            <w:r>
              <w:rPr>
                <w:sz w:val="17"/>
              </w:rPr>
              <w:t>456 h</w:t>
            </w:r>
          </w:p>
        </w:tc>
      </w:tr>
      <w:tr>
        <w:trPr>
          <w:cantSplit/>
        </w:trPr>
        <w:tc>
          <w:tcPr>
            <w:tcW w:type="dxa" w:w="2728"/>
            <w:shd w:val="clear" w:color="auto" w:fill="F7F7F7"/>
          </w:tcPr>
          <w:p>
            <w:pPr>
              <w:spacing w:after="20"/>
            </w:pPr>
            <w:r/>
            <w:r>
              <w:rPr>
                <w:sz w:val="17"/>
              </w:rPr>
              <w:t>Sunny Lotay (associate)</w:t>
            </w:r>
          </w:p>
        </w:tc>
        <w:tc>
          <w:tcPr>
            <w:tcW w:type="dxa" w:w="1455"/>
            <w:shd w:val="clear" w:color="auto" w:fill="F7F7F7"/>
          </w:tcPr>
          <w:p>
            <w:pPr>
              <w:spacing w:after="20"/>
            </w:pPr>
            <w:r/>
            <w:r>
              <w:rPr>
                <w:sz w:val="17"/>
              </w:rPr>
              <w:t>-</w:t>
            </w:r>
          </w:p>
        </w:tc>
        <w:tc>
          <w:tcPr>
            <w:tcW w:type="dxa" w:w="1455"/>
            <w:shd w:val="clear" w:color="auto" w:fill="F7F7F7"/>
          </w:tcPr>
          <w:p>
            <w:pPr>
              <w:spacing w:after="20"/>
            </w:pPr>
            <w:r/>
            <w:r>
              <w:rPr>
                <w:sz w:val="17"/>
              </w:rPr>
              <w:t>-</w:t>
            </w:r>
          </w:p>
        </w:tc>
        <w:tc>
          <w:tcPr>
            <w:tcW w:type="dxa" w:w="1455"/>
            <w:shd w:val="clear" w:color="auto" w:fill="F7F7F7"/>
          </w:tcPr>
          <w:p>
            <w:pPr>
              <w:spacing w:after="20"/>
            </w:pPr>
            <w:r/>
            <w:r>
              <w:rPr>
                <w:sz w:val="17"/>
              </w:rPr>
              <w:t>5 h</w:t>
            </w:r>
          </w:p>
        </w:tc>
        <w:tc>
          <w:tcPr>
            <w:tcW w:type="dxa" w:w="1455"/>
            <w:shd w:val="clear" w:color="auto" w:fill="F7F7F7"/>
          </w:tcPr>
          <w:p>
            <w:pPr>
              <w:spacing w:after="20"/>
            </w:pPr>
            <w:r/>
            <w:r>
              <w:rPr>
                <w:sz w:val="17"/>
              </w:rPr>
              <w:t>54 h</w:t>
            </w:r>
          </w:p>
        </w:tc>
        <w:tc>
          <w:tcPr>
            <w:tcW w:type="dxa" w:w="1091"/>
            <w:shd w:val="clear" w:color="auto" w:fill="F7F7F7"/>
          </w:tcPr>
          <w:p>
            <w:pPr>
              <w:spacing w:after="20"/>
            </w:pPr>
            <w:r/>
            <w:r>
              <w:rPr>
                <w:sz w:val="17"/>
              </w:rPr>
              <w:t>59 h</w:t>
            </w:r>
          </w:p>
        </w:tc>
      </w:tr>
      <w:tr>
        <w:trPr>
          <w:cantSplit/>
        </w:trPr>
        <w:tc>
          <w:tcPr>
            <w:tcW w:type="dxa" w:w="2728"/>
          </w:tcPr>
          <w:p>
            <w:pPr>
              <w:spacing w:after="20"/>
            </w:pPr>
            <w:r/>
            <w:r>
              <w:rPr>
                <w:sz w:val="17"/>
              </w:rPr>
              <w:t>GIS technician (casual) [TBC - Jayden]</w:t>
            </w:r>
          </w:p>
        </w:tc>
        <w:tc>
          <w:tcPr>
            <w:tcW w:type="dxa" w:w="1455"/>
          </w:tcPr>
          <w:p>
            <w:pPr>
              <w:spacing w:after="20"/>
            </w:pPr>
            <w:r/>
            <w:r>
              <w:rPr>
                <w:sz w:val="17"/>
              </w:rPr>
              <w:t>-</w:t>
            </w:r>
          </w:p>
        </w:tc>
        <w:tc>
          <w:tcPr>
            <w:tcW w:type="dxa" w:w="1455"/>
          </w:tcPr>
          <w:p>
            <w:pPr>
              <w:spacing w:after="20"/>
            </w:pPr>
            <w:r/>
            <w:r>
              <w:rPr>
                <w:sz w:val="17"/>
              </w:rPr>
              <w:t>-</w:t>
            </w:r>
          </w:p>
        </w:tc>
        <w:tc>
          <w:tcPr>
            <w:tcW w:type="dxa" w:w="1455"/>
          </w:tcPr>
          <w:p>
            <w:pPr>
              <w:spacing w:after="20"/>
            </w:pPr>
            <w:r/>
            <w:r>
              <w:rPr>
                <w:sz w:val="17"/>
              </w:rPr>
              <w:t>53 h</w:t>
            </w:r>
          </w:p>
        </w:tc>
        <w:tc>
          <w:tcPr>
            <w:tcW w:type="dxa" w:w="1455"/>
          </w:tcPr>
          <w:p>
            <w:pPr>
              <w:spacing w:after="20"/>
            </w:pPr>
            <w:r/>
            <w:r>
              <w:rPr>
                <w:sz w:val="17"/>
              </w:rPr>
              <w:t>160 h</w:t>
            </w:r>
          </w:p>
        </w:tc>
        <w:tc>
          <w:tcPr>
            <w:tcW w:type="dxa" w:w="1091"/>
          </w:tcPr>
          <w:p>
            <w:pPr>
              <w:spacing w:after="20"/>
            </w:pPr>
            <w:r/>
            <w:r>
              <w:rPr>
                <w:sz w:val="17"/>
              </w:rPr>
              <w:t>213 h</w:t>
            </w:r>
          </w:p>
        </w:tc>
      </w:tr>
    </w:tbl>
    <w:p>
      <w:pPr>
        <w:spacing w:after="40"/>
      </w:pPr>
    </w:p>
    <w:p>
      <w:r>
        <w:rPr>
          <w:i w:val="0"/>
        </w:rPr>
        <w:t>To keep Jayden at about 35 hours a week in March, the unit rates, useful lives and revaluation model are built in January and February on Council's register data, report and program frameworks are drafted in February, and a casual GIS technician and Sunny Lotay carry the March GIS and audit load.</w:t>
      </w:r>
    </w:p>
    <w:p>
      <w:pPr>
        <w:pStyle w:val="Heading2"/>
      </w:pPr>
      <w:r>
        <w:t>Related capability and equipment</w:t>
      </w:r>
    </w:p>
    <w:p>
      <w:r>
        <w:rPr>
          <w:i w:val="0"/>
        </w:rPr>
        <w:t>JCE's related business, Glide Inside (glideinside.com.au), produces 3D digital models and visualisation for the property and construction sector. JCE delivers drone photogrammetry (orthophotos, 3D models and geotagged inspection imagery) using a DJI Mavic 3 Enterprise with RTK, operated under CASA's sub-2 kg excluded category, with operator accreditation in place before services start.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 The workflow is flight planning in DroneDeploy (or DJI Pilot 2 or DJI FlightHub), RTK corrections from AUSCORS or CORSnet-NSW (or a local base), ground control and independent check points to verify accuracy, processing in Autodesk ReCap Pro (point clouds, surfaces and, where needed, orthophotos), design integration in Autodesk InfraWorks or Civil 3D, and QGIS for GIS and asset register delivery. On this contract that capability is limited to the optional per-site rate (Item 10) for a specific asset outside 5.5 km of Sydney and Bankstown airports and clear of people; it is not used for network capture (Section 2.1).</w:t>
      </w:r>
    </w:p>
    <w:p>
      <w:pPr>
        <w:pStyle w:val="Heading2"/>
      </w:pPr>
      <w:r>
        <w:t>Jayden Callen</w:t>
      </w:r>
    </w:p>
    <w:p>
      <w:r>
        <w:rPr>
          <w:i w:val="0"/>
        </w:rPr>
        <w:t xml:space="preserve">Jayden is a civil engineer with more than eight years of experience across Commonwealth Defence infrastructure, land development, roads and pavements, stormwater and water infrastructure, progressing from civil design to design management. Relevant experience includes civil design management at Langtree Consulting, Townsville (03/2025 to 05/2026), coordinating flood, electrical and hydraulic subconsultants into joint-discipline packages; senior engineer and design manager roles with SCP Consulting (06/2023 to 03/2025) on Defence projects at HMAS Watson, RAAF Base Tindal, RAAF Base Townsville and HMAS Cairns, including construction-phase inspection and quality assurance; engineer's estimates and bills of quantities, the basis of replacement cost unit rates; road and pavement design to the Austroads guides and CIRCLY; at Langtree Consulting, engineering for Tablelands Regional Council (QLD) on a floodway rectification on Council's road network and the Ravenshoe leachate storage facility design modification (2025); and Civil 3D and GIS data management.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 His summary is in Attachment B and his detailed CV is attached to the tender.</w:t>
      </w:r>
    </w:p>
    <w:p>
      <w:pPr>
        <w:pStyle w:val="Heading2"/>
      </w:pPr>
      <w:r>
        <w:t>Similar projects and referees (Returnable 11)</w:t>
      </w:r>
    </w:p>
    <w:p>
      <w:r>
        <w:rPr>
          <w:i w:val="0"/>
        </w:rPr>
        <w:t>[TBC - Jayden: three similar projects completed by the tenderer in the last five years with referees. JCE has not completed a network condition audit or revaluation of its own, so these will be the data capture and valuation partners' projects, clearly labelled as theirs, from the quotes due 21/10/2026.]</w:t>
      </w:r>
    </w:p>
    <w:p>
      <w:r>
        <w:rPr>
          <w:b/>
        </w:rPr>
        <w:t xml:space="preserve">Key personnel council experience: </w:t>
      </w:r>
      <w:r>
        <w:rPr>
          <w:i w:val="0"/>
        </w:rPr>
        <w:t xml:space="preserve">Jayden Callen (while at Langtree Consulting): Floodway rectification, Tablelands Regional Council (QLD): engineering for the rectification of a floodway on Council's road network. Ravenshoe leachate storage facility design modification, Tablelands Regional Council (QLD), 2025 (Jayden Callen while at Langtree Consulting). Referee for Jayden's work: Darren Quilliam, Tablelands Regional Council (contact details available on request). These are key personnel experience, not JCE company projects.</w:t>
      </w:r>
    </w:p>
    <w:p>
      <w:r>
        <w:rPr>
          <w:b/>
        </w:rPr>
        <w:t xml:space="preserve">Referee for Defence and head-contractor delivery: </w:t>
      </w:r>
      <w:r>
        <w:rPr>
          <w:i w:val="0"/>
        </w:rPr>
        <w:t xml:space="preserve">RAAF Base Townsville, Defence delivery project: engineering delivery for CPB Contractors (head contractor). Referee: Maverick Parker, CPB Contractors (contact details available on request). This shows Defence and head-contractor delivery; it is not a council transport-asset project.</w:t>
      </w:r>
    </w:p>
    <w:p>
      <w:r>
        <w:rPr>
          <w:b/>
        </w:rPr>
        <w:t xml:space="preserve">Related capability project: </w:t>
      </w:r>
      <w:r>
        <w:rPr>
          <w:i w:val="0"/>
        </w:rPr>
        <w:t>Farm drainage works, private rural client (Craig Sullivan): drone photogrammetry survey of the property using RTK-positioned automated flights, processed in Autodesk ReCap Pro to a terrain surface used to design the drainage works. Referee details available on request. This private project shows JCE's drone survey and processing capability; it is not a council transport-asset project.</w:t>
      </w:r>
    </w:p>
    <w:p>
      <w:pPr>
        <w:pStyle w:val="Heading1"/>
        <w:pBdr>
          <w:bottom w:val="single" w:sz="6" w:space="1" w:color="C9A227"/>
        </w:pBdr>
      </w:pPr>
      <w:r>
        <w:t>6.0   Work health and safety, quality and environment</w:t>
      </w:r>
    </w:p>
    <w:p>
      <w:r>
        <w:rPr>
          <w:b/>
        </w:rPr>
        <w:t xml:space="preserve">Work health and safety. </w:t>
      </w:r>
      <w:r>
        <w:rPr>
          <w:i w:val="0"/>
        </w:rPr>
        <w:t>JCE operates a documented WHS management system: WHS Policy (JCE-WHS-POL-001), WHS Management Plan (JCE-WHS-PLN-001), Safe Work Method Statement (JCE-WHS-SWMS-001), Site Inspection and Site Entry Procedure (JCE-WHS-PRO-005), Driving and Vehicle Safety Policy (JCE-WHS-POL-004), Worker WHS Induction (JCE-WHS-PRO-008), pre-site Take-5 risk assessment (JCE-WHS-FRM-002), incident, hazard and near-miss reporting (JCE-WHS-FRM-001) and the Subconsultant and Contractor WHS Management Procedure (JCE-WHS-PRO-009). A project WHS Management Plan will be submitted to the Contract Manager before site access, as clause 18 requires.</w:t>
      </w:r>
    </w:p>
    <w:p>
      <w:r>
        <w:rPr>
          <w:b/>
        </w:rPr>
        <w:t xml:space="preserve">Field safety. </w:t>
      </w:r>
      <w:r>
        <w:rPr>
          <w:i w:val="0"/>
        </w:rPr>
        <w:t>Survey vehicles work at traffic speed with warning lights, footpath crews work at walking pace in high-visibility clothing, and no one works in a live traffic lane without traffic control by accredited controllers to an approved traffic guidance scheme. The partner's SWMS, traffic guidance schemes and inductions are checked by JCE under JCE-WHS-PRO-009 before mobilisation.</w:t>
      </w:r>
    </w:p>
    <w:p>
      <w:r>
        <w:rPr>
          <w:b/>
        </w:rPr>
        <w:t xml:space="preserve">Quality. </w:t>
      </w:r>
      <w:r>
        <w:rPr>
          <w:i w:val="0"/>
        </w:rPr>
        <w:t>Approved capture forms and definitions, a pilot, rater calibration, weekly re-rating and feedback, JCE field verification, independent technical review and Director review of every deliverable, under JCE's Quality Policy (JCE-QMS-POL-001). JCE's quality system is not certified to ISO 9001.</w:t>
      </w:r>
    </w:p>
    <w:p>
      <w:r>
        <w:rPr>
          <w:b/>
        </w:rPr>
        <w:t xml:space="preserve">Environment and privacy. </w:t>
      </w:r>
      <w:r>
        <w:rPr>
          <w:i w:val="0"/>
        </w:rPr>
        <w:t>A project Environmental Management Plan under JCE's Environmental Policy (JCE-ENV-POL-001); no ground disturbance; imagery stored in Australia, with faces and number plates blurred in any imagery used outside Council.</w:t>
      </w:r>
    </w:p>
    <w:p>
      <w:pPr>
        <w:pStyle w:val="Heading1"/>
        <w:pBdr>
          <w:bottom w:val="single" w:sz="6" w:space="1" w:color="C9A227"/>
        </w:pBdr>
      </w:pPr>
      <w:r>
        <w:t>7.0   Optional Service A: Transport Asset Prioritisation Analysis</w:t>
      </w:r>
    </w:p>
    <w:p>
      <w:r>
        <w:rPr>
          <w:i w:val="0"/>
        </w:rPr>
        <w:t>Lump sum $13,680.00 excluding GST (Pricing Schedule Item 9), delivered by Jayden Callen with JCE's design and CAD staff, April to 30/06/2027 if engaged.</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2142"/>
        <w:gridCol w:w="7496"/>
      </w:tblGrid>
      <w:tr>
        <w:trPr>
          <w:tblHeader/>
          <w:cantSplit/>
        </w:trPr>
        <w:tc>
          <w:tcPr>
            <w:tcW w:type="dxa" w:w="2142"/>
            <w:shd w:val="clear" w:color="auto" w:fill="000000"/>
          </w:tcPr>
          <w:p>
            <w:pPr>
              <w:keepNext/>
            </w:pPr>
            <w:r/>
            <w:r>
              <w:rPr>
                <w:b/>
                <w:color w:val="FFFFFF"/>
                <w:sz w:val="17"/>
              </w:rPr>
              <w:t>Returnable item</w:t>
            </w:r>
          </w:p>
        </w:tc>
        <w:tc>
          <w:tcPr>
            <w:tcW w:type="dxa" w:w="7496"/>
            <w:shd w:val="clear" w:color="auto" w:fill="000000"/>
          </w:tcPr>
          <w:p>
            <w:pPr>
              <w:keepNext/>
            </w:pPr>
            <w:r/>
            <w:r>
              <w:rPr>
                <w:b/>
                <w:color w:val="FFFFFF"/>
                <w:sz w:val="17"/>
              </w:rPr>
              <w:t>JCE response</w:t>
            </w:r>
          </w:p>
        </w:tc>
      </w:tr>
      <w:tr>
        <w:trPr>
          <w:cantSplit/>
        </w:trPr>
        <w:tc>
          <w:tcPr>
            <w:tcW w:type="dxa" w:w="2142"/>
          </w:tcPr>
          <w:p>
            <w:pPr>
              <w:keepNext/>
              <w:spacing w:after="20"/>
            </w:pPr>
            <w:r/>
            <w:r>
              <w:rPr>
                <w:sz w:val="17"/>
              </w:rPr>
              <w:t>Methodology</w:t>
            </w:r>
          </w:p>
        </w:tc>
        <w:tc>
          <w:tcPr>
            <w:tcW w:type="dxa" w:w="7496"/>
          </w:tcPr>
          <w:p>
            <w:pPr>
              <w:keepNext/>
              <w:spacing w:after="20"/>
            </w:pPr>
            <w:r/>
            <w:r>
              <w:rPr>
                <w:sz w:val="17"/>
              </w:rPr>
              <w:t>Multi-criteria framework built from the audit and revaluation data: asset factors (condition, remaining life, defect severity, age, replacement value), risk factors (safety, serviceability, likelihood and consequence of failure, accessibility), network factors (hierarchy, classification, connectivity, resilience, strategic function), community and demand factors (pedestrian and cycling activity, public transport access, customer requests) and land use factors (schools, childcare, health and aged care, town centres, community and recreation facilities). Criteria and weights agreed with Council at a first workshop, scores normalised 0 to 100, sensitivity tested, and results reviewed at a second workshop.</w:t>
            </w:r>
          </w:p>
        </w:tc>
      </w:tr>
      <w:tr>
        <w:trPr>
          <w:cantSplit/>
        </w:trPr>
        <w:tc>
          <w:tcPr>
            <w:tcW w:type="dxa" w:w="2142"/>
            <w:shd w:val="clear" w:color="auto" w:fill="F7F7F7"/>
          </w:tcPr>
          <w:p>
            <w:pPr>
              <w:spacing w:after="20"/>
            </w:pPr>
            <w:r/>
            <w:r>
              <w:rPr>
                <w:sz w:val="17"/>
              </w:rPr>
              <w:t>Data requirements</w:t>
            </w:r>
          </w:p>
        </w:tc>
        <w:tc>
          <w:tcPr>
            <w:tcW w:type="dxa" w:w="7496"/>
            <w:shd w:val="clear" w:color="auto" w:fill="F7F7F7"/>
          </w:tcPr>
          <w:p>
            <w:pPr>
              <w:spacing w:after="20"/>
            </w:pPr>
            <w:r/>
            <w:r>
              <w:rPr>
                <w:sz w:val="17"/>
              </w:rPr>
              <w:t>Audit, defect and valuation data from this contract; Council's road hierarchy and classification; customer request records; land use and zoning layers; locations of schools, childcare, health, aged care and community facilities; public transport stops; pedestrian and cycling counts where held; Council's risk framework.</w:t>
            </w:r>
          </w:p>
        </w:tc>
      </w:tr>
      <w:tr>
        <w:trPr>
          <w:cantSplit/>
        </w:trPr>
        <w:tc>
          <w:tcPr>
            <w:tcW w:type="dxa" w:w="2142"/>
          </w:tcPr>
          <w:p>
            <w:pPr>
              <w:spacing w:after="20"/>
            </w:pPr>
            <w:r/>
            <w:r>
              <w:rPr>
                <w:sz w:val="17"/>
              </w:rPr>
              <w:t>Deliverables</w:t>
            </w:r>
          </w:p>
        </w:tc>
        <w:tc>
          <w:tcPr>
            <w:tcW w:type="dxa" w:w="7496"/>
          </w:tcPr>
          <w:p>
            <w:pPr>
              <w:spacing w:after="20"/>
            </w:pPr>
            <w:r/>
            <w:r>
              <w:rPr>
                <w:sz w:val="17"/>
              </w:rPr>
              <w:t>Prioritisation methodology report; criteria and weighting framework; scores and rankings for audited assets; GIS prioritisation layers; criticality, renewal priority and risk hotspot maps; workshop and presentation; recommendations for ongoing use and maintenance of the framework.</w:t>
            </w:r>
          </w:p>
        </w:tc>
      </w:tr>
      <w:tr>
        <w:trPr>
          <w:cantSplit/>
        </w:trPr>
        <w:tc>
          <w:tcPr>
            <w:tcW w:type="dxa" w:w="2142"/>
            <w:shd w:val="clear" w:color="auto" w:fill="F7F7F7"/>
          </w:tcPr>
          <w:p>
            <w:pPr>
              <w:spacing w:after="20"/>
            </w:pPr>
            <w:r/>
            <w:r>
              <w:rPr>
                <w:sz w:val="17"/>
              </w:rPr>
              <w:t>Program</w:t>
            </w:r>
          </w:p>
        </w:tc>
        <w:tc>
          <w:tcPr>
            <w:tcW w:type="dxa" w:w="7496"/>
            <w:shd w:val="clear" w:color="auto" w:fill="F7F7F7"/>
          </w:tcPr>
          <w:p>
            <w:pPr>
              <w:spacing w:after="20"/>
            </w:pPr>
            <w:r/>
            <w:r>
              <w:rPr>
                <w:sz w:val="17"/>
              </w:rPr>
              <w:t>Methodology and weights workshop April 2027; draft scores and maps May 2027; validation workshop early June 2027; final report and layers by 30/06/2027.</w:t>
            </w:r>
          </w:p>
        </w:tc>
      </w:tr>
      <w:tr>
        <w:trPr>
          <w:cantSplit/>
        </w:trPr>
        <w:tc>
          <w:tcPr>
            <w:tcW w:type="dxa" w:w="2142"/>
          </w:tcPr>
          <w:p>
            <w:pPr>
              <w:spacing w:after="20"/>
            </w:pPr>
            <w:r/>
            <w:r>
              <w:rPr>
                <w:sz w:val="17"/>
              </w:rPr>
              <w:t>Relevant experience</w:t>
            </w:r>
          </w:p>
        </w:tc>
        <w:tc>
          <w:tcPr>
            <w:tcW w:type="dxa" w:w="7496"/>
          </w:tcPr>
          <w:p>
            <w:pPr>
              <w:spacing w:after="20"/>
            </w:pPr>
            <w:r/>
            <w:r>
              <w:rPr>
                <w:sz w:val="17"/>
              </w:rPr>
              <w:t>Jayden's road and pavement design, construction-phase condition assessment and Civil 3D and GIS data management (Section 5.0). [TBC - Jayden: any prioritisation or capital works ranking work to cite]</w:t>
            </w:r>
          </w:p>
        </w:tc>
      </w:tr>
    </w:tbl>
    <w:p>
      <w:pPr>
        <w:spacing w:after="40"/>
      </w:pPr>
    </w:p>
    <w:p>
      <w:pPr>
        <w:pStyle w:val="Heading1"/>
        <w:pBdr>
          <w:bottom w:val="single" w:sz="6" w:space="1" w:color="C9A227"/>
        </w:pBdr>
      </w:pPr>
      <w:r>
        <w:t>8.0   Assumptions and information required from Council</w:t>
      </w:r>
    </w:p>
    <w:p>
      <w:pPr>
        <w:pStyle w:val="Heading2"/>
      </w:pPr>
      <w:r>
        <w:t>Information required from Council</w:t>
      </w:r>
    </w:p>
    <w:p>
      <w:pPr>
        <w:pStyle w:val="ListBullet"/>
        <w:spacing w:after="40"/>
      </w:pPr>
      <w:r>
        <w:t>The information listed in the Contractor Brief within five business days of award: asset registers with location, dimensions, condition, useful and remaining life; attributes and lookup codes; the State roads list; defect types; spatial layers; ECW aerial imagery; condition guidelines; and the white way lighting list.</w:t>
      </w:r>
    </w:p>
    <w:p>
      <w:pPr>
        <w:pStyle w:val="ListBullet"/>
        <w:spacing w:after="40"/>
      </w:pPr>
      <w:r>
        <w:t>Council's recent contract rates for transport renewal and maintenance works, and the most recent revaluation report and working papers.</w:t>
      </w:r>
    </w:p>
    <w:p>
      <w:pPr>
        <w:pStyle w:val="ListBullet"/>
        <w:spacing w:after="40"/>
      </w:pPr>
      <w:r>
        <w:t>A nominated pilot area, a letter of authority for field staff, and notice to residents through Council's channels.</w:t>
      </w:r>
    </w:p>
    <w:p>
      <w:pPr>
        <w:pStyle w:val="Heading2"/>
      </w:pPr>
      <w:r>
        <w:t>Assumptions (Returnable 3)</w:t>
      </w:r>
    </w:p>
    <w:p>
      <w:pPr>
        <w:pStyle w:val="ListBullet"/>
        <w:spacing w:after="40"/>
      </w:pPr>
      <w:r>
        <w:t>Award by 30/11/2026, Council data within five business days of award and Council reviews within five business days; a later award or longer reviews move the program by the same period.</w:t>
      </w:r>
    </w:p>
    <w:p>
      <w:pPr>
        <w:pStyle w:val="ListBullet"/>
        <w:spacing w:after="40"/>
      </w:pPr>
      <w:r>
        <w:t>Field work in daylight hours, Monday to Friday, without lane closures; any lane closure Council requires is arranged by JCE and valued as a variation.</w:t>
      </w:r>
    </w:p>
    <w:p>
      <w:pPr>
        <w:pStyle w:val="ListBullet"/>
        <w:spacing w:after="40"/>
      </w:pPr>
      <w:r>
        <w:t>Artwork is valued at replacement cost on the same basis as other assets; a specialist art market valuation is excluded unless Council asks for it.</w:t>
      </w:r>
    </w:p>
    <w:p>
      <w:pPr>
        <w:pStyle w:val="ListBullet"/>
        <w:spacing w:after="40"/>
      </w:pPr>
      <w:r>
        <w:t>Retaining walls (optional) are assessed from the street and footpath only, as the Scope table describes.</w:t>
      </w:r>
    </w:p>
    <w:p>
      <w:pPr>
        <w:pStyle w:val="ListBullet"/>
        <w:spacing w:after="40"/>
      </w:pPr>
      <w:r>
        <w:t>One round of consolidated Council comments on each draft report; the valuation date is as Council confirms.</w:t>
      </w:r>
    </w:p>
    <w:p>
      <w:pPr>
        <w:pStyle w:val="Heading1"/>
        <w:pBdr>
          <w:bottom w:val="single" w:sz="6" w:space="1" w:color="C9A227"/>
        </w:pBdr>
      </w:pPr>
      <w:r>
        <w:t>9.0   Fee schedule</w:t>
      </w:r>
    </w:p>
    <w:p>
      <w:r>
        <w:rPr>
          <w:i w:val="0"/>
        </w:rPr>
        <w:t>Prices are lump sums in Australian dollars in the format of Council's Pricing Schedule (Returnable 2). GST is shown separately as the RFT requires.</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945"/>
        <w:gridCol w:w="6614"/>
        <w:gridCol w:w="2079"/>
      </w:tblGrid>
      <w:tr>
        <w:trPr>
          <w:tblHeader/>
          <w:cantSplit/>
        </w:trPr>
        <w:tc>
          <w:tcPr>
            <w:tcW w:type="dxa" w:w="945"/>
            <w:shd w:val="clear" w:color="auto" w:fill="000000"/>
          </w:tcPr>
          <w:p>
            <w:pPr>
              <w:keepNext/>
            </w:pPr>
            <w:r/>
            <w:r>
              <w:rPr>
                <w:b/>
                <w:color w:val="FFFFFF"/>
                <w:sz w:val="17"/>
              </w:rPr>
              <w:t>Item</w:t>
            </w:r>
          </w:p>
        </w:tc>
        <w:tc>
          <w:tcPr>
            <w:tcW w:type="dxa" w:w="6614"/>
            <w:shd w:val="clear" w:color="auto" w:fill="000000"/>
          </w:tcPr>
          <w:p>
            <w:pPr>
              <w:keepNext/>
            </w:pPr>
            <w:r/>
            <w:r>
              <w:rPr>
                <w:b/>
                <w:color w:val="FFFFFF"/>
                <w:sz w:val="17"/>
              </w:rPr>
              <w:t>Pricing Schedule item</w:t>
            </w:r>
          </w:p>
        </w:tc>
        <w:tc>
          <w:tcPr>
            <w:tcW w:type="dxa" w:w="2079"/>
            <w:shd w:val="clear" w:color="auto" w:fill="000000"/>
          </w:tcPr>
          <w:p>
            <w:pPr>
              <w:keepNext/>
            </w:pPr>
            <w:r/>
            <w:r>
              <w:rPr>
                <w:b/>
                <w:color w:val="FFFFFF"/>
                <w:sz w:val="17"/>
              </w:rPr>
              <w:t>Total (excl. GST)</w:t>
            </w:r>
          </w:p>
        </w:tc>
      </w:tr>
      <w:tr>
        <w:trPr>
          <w:cantSplit/>
        </w:trPr>
        <w:tc>
          <w:tcPr>
            <w:tcW w:type="dxa" w:w="945"/>
          </w:tcPr>
          <w:p>
            <w:pPr>
              <w:keepNext/>
              <w:spacing w:after="20"/>
            </w:pPr>
            <w:r/>
            <w:r>
              <w:rPr>
                <w:sz w:val="17"/>
              </w:rPr>
              <w:t>1</w:t>
            </w:r>
          </w:p>
        </w:tc>
        <w:tc>
          <w:tcPr>
            <w:tcW w:type="dxa" w:w="6614"/>
          </w:tcPr>
          <w:p>
            <w:pPr>
              <w:keepNext/>
              <w:spacing w:after="20"/>
            </w:pPr>
            <w:r/>
            <w:r>
              <w:rPr>
                <w:sz w:val="17"/>
              </w:rPr>
              <w:t>Lump sum for mandatory asset classes condition audit and comprehensive revaluation</w:t>
            </w:r>
          </w:p>
        </w:tc>
        <w:tc>
          <w:tcPr>
            <w:tcW w:type="dxa" w:w="2079"/>
          </w:tcPr>
          <w:p>
            <w:pPr>
              <w:keepNext/>
              <w:spacing w:after="20"/>
              <w:jc w:val="right"/>
            </w:pPr>
            <w:r/>
            <w:r>
              <w:rPr>
                <w:sz w:val="17"/>
              </w:rPr>
              <w:t>$433,850.00</w:t>
            </w:r>
          </w:p>
        </w:tc>
      </w:tr>
      <w:tr>
        <w:trPr>
          <w:cantSplit/>
        </w:trPr>
        <w:tc>
          <w:tcPr>
            <w:tcW w:type="dxa" w:w="945"/>
            <w:shd w:val="clear" w:color="auto" w:fill="F7F7F7"/>
          </w:tcPr>
          <w:p>
            <w:pPr>
              <w:spacing w:after="20"/>
            </w:pPr>
            <w:r/>
            <w:r>
              <w:rPr>
                <w:sz w:val="17"/>
              </w:rPr>
              <w:t>2</w:t>
            </w:r>
          </w:p>
        </w:tc>
        <w:tc>
          <w:tcPr>
            <w:tcW w:type="dxa" w:w="6614"/>
            <w:shd w:val="clear" w:color="auto" w:fill="F7F7F7"/>
          </w:tcPr>
          <w:p>
            <w:pPr>
              <w:spacing w:after="20"/>
            </w:pPr>
            <w:r/>
            <w:r>
              <w:rPr>
                <w:sz w:val="17"/>
              </w:rPr>
              <w:t>Lump sum for PCG meetings (fortnightly to 31 March 2027)</w:t>
            </w:r>
          </w:p>
        </w:tc>
        <w:tc>
          <w:tcPr>
            <w:tcW w:type="dxa" w:w="2079"/>
            <w:shd w:val="clear" w:color="auto" w:fill="F7F7F7"/>
          </w:tcPr>
          <w:p>
            <w:pPr>
              <w:spacing w:after="20"/>
              <w:jc w:val="right"/>
            </w:pPr>
            <w:r/>
            <w:r>
              <w:rPr>
                <w:sz w:val="17"/>
              </w:rPr>
              <w:t>$3,240.00</w:t>
            </w:r>
          </w:p>
        </w:tc>
      </w:tr>
      <w:tr>
        <w:trPr>
          <w:cantSplit/>
        </w:trPr>
        <w:tc>
          <w:tcPr>
            <w:tcW w:type="dxa" w:w="945"/>
          </w:tcPr>
          <w:p>
            <w:pPr>
              <w:spacing w:after="20"/>
            </w:pPr>
            <w:r/>
            <w:r>
              <w:rPr>
                <w:sz w:val="17"/>
              </w:rPr>
              <w:t>3</w:t>
            </w:r>
          </w:p>
        </w:tc>
        <w:tc>
          <w:tcPr>
            <w:tcW w:type="dxa" w:w="6614"/>
          </w:tcPr>
          <w:p>
            <w:pPr>
              <w:spacing w:after="20"/>
            </w:pPr>
            <w:r/>
            <w:r>
              <w:rPr>
                <w:sz w:val="17"/>
              </w:rPr>
              <w:t>Reports (where not included in Item 1)</w:t>
            </w:r>
          </w:p>
        </w:tc>
        <w:tc>
          <w:tcPr>
            <w:tcW w:type="dxa" w:w="2079"/>
          </w:tcPr>
          <w:p>
            <w:pPr>
              <w:spacing w:after="20"/>
            </w:pPr>
            <w:r/>
            <w:r>
              <w:rPr>
                <w:sz w:val="17"/>
              </w:rPr>
              <w:t>Included in Item 1</w:t>
            </w:r>
          </w:p>
        </w:tc>
      </w:tr>
      <w:tr>
        <w:trPr>
          <w:cantSplit/>
        </w:trPr>
        <w:tc>
          <w:tcPr>
            <w:tcW w:type="dxa" w:w="945"/>
            <w:shd w:val="clear" w:color="auto" w:fill="F7F7F7"/>
          </w:tcPr>
          <w:p>
            <w:pPr>
              <w:keepNext/>
              <w:spacing w:after="20"/>
            </w:pPr>
            <w:r/>
            <w:r>
              <w:rPr>
                <w:sz w:val="17"/>
              </w:rPr>
              <w:t>10</w:t>
            </w:r>
          </w:p>
        </w:tc>
        <w:tc>
          <w:tcPr>
            <w:tcW w:type="dxa" w:w="6614"/>
            <w:shd w:val="clear" w:color="auto" w:fill="F7F7F7"/>
          </w:tcPr>
          <w:p>
            <w:pPr>
              <w:keepNext/>
              <w:spacing w:after="20"/>
            </w:pPr>
            <w:r/>
            <w:r>
              <w:rPr>
                <w:sz w:val="17"/>
              </w:rPr>
              <w:t>Other not included above</w:t>
            </w:r>
          </w:p>
        </w:tc>
        <w:tc>
          <w:tcPr>
            <w:tcW w:type="dxa" w:w="2079"/>
            <w:shd w:val="clear" w:color="auto" w:fill="F7F7F7"/>
          </w:tcPr>
          <w:p>
            <w:pPr>
              <w:keepNext/>
              <w:spacing w:after="20"/>
            </w:pPr>
            <w:r/>
            <w:r>
              <w:rPr>
                <w:sz w:val="17"/>
              </w:rPr>
              <w:t>Nil (optional drone rate below is not in the total)</w:t>
            </w:r>
          </w:p>
        </w:tc>
      </w:tr>
      <w:tr>
        <w:trPr>
          <w:cantSplit/>
        </w:trPr>
        <w:tc>
          <w:tcPr>
            <w:tcW w:type="dxa" w:w="945"/>
            <w:shd w:val="clear" w:color="auto" w:fill="F3E9C6"/>
          </w:tcPr>
          <w:p>
            <w:pPr>
              <w:keepNext/>
              <w:spacing w:after="20"/>
            </w:pPr>
            <w:r/>
            <w:r>
              <w:rPr>
                <w:b/>
                <w:sz w:val="17"/>
              </w:rPr>
            </w:r>
          </w:p>
        </w:tc>
        <w:tc>
          <w:tcPr>
            <w:tcW w:type="dxa" w:w="6614"/>
            <w:shd w:val="clear" w:color="auto" w:fill="F3E9C6"/>
          </w:tcPr>
          <w:p>
            <w:pPr>
              <w:keepNext/>
              <w:spacing w:after="20"/>
            </w:pPr>
            <w:r/>
            <w:r>
              <w:rPr>
                <w:b/>
                <w:sz w:val="17"/>
              </w:rPr>
              <w:t>Mandatory scope (excl. GST)</w:t>
            </w:r>
          </w:p>
        </w:tc>
        <w:tc>
          <w:tcPr>
            <w:tcW w:type="dxa" w:w="2079"/>
            <w:shd w:val="clear" w:color="auto" w:fill="F3E9C6"/>
          </w:tcPr>
          <w:p>
            <w:pPr>
              <w:keepNext/>
              <w:spacing w:after="20"/>
              <w:jc w:val="right"/>
            </w:pPr>
            <w:r/>
            <w:r>
              <w:rPr>
                <w:b/>
                <w:sz w:val="17"/>
              </w:rPr>
              <w:t>$437,090.00</w:t>
            </w:r>
          </w:p>
        </w:tc>
      </w:tr>
      <w:tr>
        <w:trPr>
          <w:cantSplit/>
        </w:trPr>
        <w:tc>
          <w:tcPr>
            <w:tcW w:type="dxa" w:w="945"/>
            <w:shd w:val="clear" w:color="auto" w:fill="F3E9C6"/>
          </w:tcPr>
          <w:p>
            <w:pPr>
              <w:keepNext/>
              <w:spacing w:after="20"/>
            </w:pPr>
            <w:r/>
            <w:r>
              <w:rPr>
                <w:b/>
                <w:sz w:val="17"/>
              </w:rPr>
            </w:r>
          </w:p>
        </w:tc>
        <w:tc>
          <w:tcPr>
            <w:tcW w:type="dxa" w:w="6614"/>
            <w:shd w:val="clear" w:color="auto" w:fill="F3E9C6"/>
          </w:tcPr>
          <w:p>
            <w:pPr>
              <w:keepNext/>
              <w:spacing w:after="20"/>
            </w:pPr>
            <w:r/>
            <w:r>
              <w:rPr>
                <w:b/>
                <w:sz w:val="17"/>
              </w:rPr>
              <w:t>GST (10%)</w:t>
            </w:r>
          </w:p>
        </w:tc>
        <w:tc>
          <w:tcPr>
            <w:tcW w:type="dxa" w:w="2079"/>
            <w:shd w:val="clear" w:color="auto" w:fill="F3E9C6"/>
          </w:tcPr>
          <w:p>
            <w:pPr>
              <w:keepNext/>
              <w:spacing w:after="20"/>
              <w:jc w:val="right"/>
            </w:pPr>
            <w:r/>
            <w:r>
              <w:rPr>
                <w:b/>
                <w:sz w:val="17"/>
              </w:rPr>
              <w:t>$43,709.00</w:t>
            </w:r>
          </w:p>
        </w:tc>
      </w:tr>
      <w:tr>
        <w:trPr>
          <w:cantSplit/>
        </w:trPr>
        <w:tc>
          <w:tcPr>
            <w:tcW w:type="dxa" w:w="945"/>
            <w:shd w:val="clear" w:color="auto" w:fill="F3E9C6"/>
          </w:tcPr>
          <w:p>
            <w:pPr>
              <w:spacing w:after="20"/>
            </w:pPr>
            <w:r/>
            <w:r>
              <w:rPr>
                <w:b/>
                <w:sz w:val="17"/>
              </w:rPr>
            </w:r>
          </w:p>
        </w:tc>
        <w:tc>
          <w:tcPr>
            <w:tcW w:type="dxa" w:w="6614"/>
            <w:shd w:val="clear" w:color="auto" w:fill="F3E9C6"/>
          </w:tcPr>
          <w:p>
            <w:pPr>
              <w:spacing w:after="20"/>
            </w:pPr>
            <w:r/>
            <w:r>
              <w:rPr>
                <w:b/>
                <w:sz w:val="17"/>
              </w:rPr>
              <w:t>Mandatory scope (incl. GST)</w:t>
            </w:r>
          </w:p>
        </w:tc>
        <w:tc>
          <w:tcPr>
            <w:tcW w:type="dxa" w:w="2079"/>
            <w:shd w:val="clear" w:color="auto" w:fill="F3E9C6"/>
          </w:tcPr>
          <w:p>
            <w:pPr>
              <w:spacing w:after="20"/>
              <w:jc w:val="right"/>
            </w:pPr>
            <w:r/>
            <w:r>
              <w:rPr>
                <w:b/>
                <w:sz w:val="17"/>
              </w:rPr>
              <w:t>$480,799.00</w:t>
            </w:r>
          </w:p>
        </w:tc>
      </w:tr>
    </w:tbl>
    <w:p>
      <w:pPr>
        <w:spacing w:after="40"/>
      </w:pP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945"/>
        <w:gridCol w:w="6614"/>
        <w:gridCol w:w="2079"/>
      </w:tblGrid>
      <w:tr>
        <w:trPr>
          <w:tblHeader/>
          <w:cantSplit/>
        </w:trPr>
        <w:tc>
          <w:tcPr>
            <w:tcW w:type="dxa" w:w="945"/>
            <w:shd w:val="clear" w:color="auto" w:fill="000000"/>
          </w:tcPr>
          <w:p>
            <w:pPr>
              <w:keepNext/>
            </w:pPr>
            <w:r/>
            <w:r>
              <w:rPr>
                <w:b/>
                <w:color w:val="FFFFFF"/>
                <w:sz w:val="17"/>
              </w:rPr>
              <w:t>Item</w:t>
            </w:r>
          </w:p>
        </w:tc>
        <w:tc>
          <w:tcPr>
            <w:tcW w:type="dxa" w:w="6614"/>
            <w:shd w:val="clear" w:color="auto" w:fill="000000"/>
          </w:tcPr>
          <w:p>
            <w:pPr>
              <w:keepNext/>
            </w:pPr>
            <w:r/>
            <w:r>
              <w:rPr>
                <w:b/>
                <w:color w:val="FFFFFF"/>
                <w:sz w:val="17"/>
              </w:rPr>
              <w:t>Optional items (Council may select any combination)</w:t>
            </w:r>
          </w:p>
        </w:tc>
        <w:tc>
          <w:tcPr>
            <w:tcW w:type="dxa" w:w="2079"/>
            <w:shd w:val="clear" w:color="auto" w:fill="000000"/>
          </w:tcPr>
          <w:p>
            <w:pPr>
              <w:keepNext/>
            </w:pPr>
            <w:r/>
            <w:r>
              <w:rPr>
                <w:b/>
                <w:color w:val="FFFFFF"/>
                <w:sz w:val="17"/>
              </w:rPr>
              <w:t>Total (excl. GST)</w:t>
            </w:r>
          </w:p>
        </w:tc>
      </w:tr>
      <w:tr>
        <w:trPr>
          <w:cantSplit/>
        </w:trPr>
        <w:tc>
          <w:tcPr>
            <w:tcW w:type="dxa" w:w="945"/>
          </w:tcPr>
          <w:p>
            <w:pPr>
              <w:keepNext/>
              <w:spacing w:after="20"/>
            </w:pPr>
            <w:r/>
            <w:r>
              <w:rPr>
                <w:sz w:val="17"/>
              </w:rPr>
              <w:t>4</w:t>
            </w:r>
          </w:p>
        </w:tc>
        <w:tc>
          <w:tcPr>
            <w:tcW w:type="dxa" w:w="6614"/>
          </w:tcPr>
          <w:p>
            <w:pPr>
              <w:keepNext/>
              <w:spacing w:after="20"/>
            </w:pPr>
            <w:r/>
            <w:r>
              <w:rPr>
                <w:sz w:val="17"/>
              </w:rPr>
              <w:t>Optional asset class: kerb and pram ramps, including DDA checks</w:t>
            </w:r>
          </w:p>
        </w:tc>
        <w:tc>
          <w:tcPr>
            <w:tcW w:type="dxa" w:w="2079"/>
          </w:tcPr>
          <w:p>
            <w:pPr>
              <w:keepNext/>
              <w:spacing w:after="20"/>
              <w:jc w:val="right"/>
            </w:pPr>
            <w:r/>
            <w:r>
              <w:rPr>
                <w:sz w:val="17"/>
              </w:rPr>
              <w:t>$51,220.00</w:t>
            </w:r>
          </w:p>
        </w:tc>
      </w:tr>
      <w:tr>
        <w:trPr>
          <w:cantSplit/>
        </w:trPr>
        <w:tc>
          <w:tcPr>
            <w:tcW w:type="dxa" w:w="945"/>
            <w:shd w:val="clear" w:color="auto" w:fill="F7F7F7"/>
          </w:tcPr>
          <w:p>
            <w:pPr>
              <w:spacing w:after="20"/>
            </w:pPr>
            <w:r/>
            <w:r>
              <w:rPr>
                <w:sz w:val="17"/>
              </w:rPr>
              <w:t>5</w:t>
            </w:r>
          </w:p>
        </w:tc>
        <w:tc>
          <w:tcPr>
            <w:tcW w:type="dxa" w:w="6614"/>
            <w:shd w:val="clear" w:color="auto" w:fill="F7F7F7"/>
          </w:tcPr>
          <w:p>
            <w:pPr>
              <w:spacing w:after="20"/>
            </w:pPr>
            <w:r/>
            <w:r>
              <w:rPr>
                <w:sz w:val="17"/>
              </w:rPr>
              <w:t>Optional asset class: tree pits and verge gardens</w:t>
            </w:r>
          </w:p>
        </w:tc>
        <w:tc>
          <w:tcPr>
            <w:tcW w:type="dxa" w:w="2079"/>
            <w:shd w:val="clear" w:color="auto" w:fill="F7F7F7"/>
          </w:tcPr>
          <w:p>
            <w:pPr>
              <w:spacing w:after="20"/>
              <w:jc w:val="right"/>
            </w:pPr>
            <w:r/>
            <w:r>
              <w:rPr>
                <w:sz w:val="17"/>
              </w:rPr>
              <w:t>$32,760.00</w:t>
            </w:r>
          </w:p>
        </w:tc>
      </w:tr>
      <w:tr>
        <w:trPr>
          <w:cantSplit/>
        </w:trPr>
        <w:tc>
          <w:tcPr>
            <w:tcW w:type="dxa" w:w="945"/>
          </w:tcPr>
          <w:p>
            <w:pPr>
              <w:spacing w:after="20"/>
            </w:pPr>
            <w:r/>
            <w:r>
              <w:rPr>
                <w:sz w:val="17"/>
              </w:rPr>
              <w:t>6</w:t>
            </w:r>
          </w:p>
        </w:tc>
        <w:tc>
          <w:tcPr>
            <w:tcW w:type="dxa" w:w="6614"/>
          </w:tcPr>
          <w:p>
            <w:pPr>
              <w:spacing w:after="20"/>
            </w:pPr>
            <w:r/>
            <w:r>
              <w:rPr>
                <w:sz w:val="17"/>
              </w:rPr>
              <w:t>Optional asset class: vehicle crossings</w:t>
            </w:r>
          </w:p>
        </w:tc>
        <w:tc>
          <w:tcPr>
            <w:tcW w:type="dxa" w:w="2079"/>
          </w:tcPr>
          <w:p>
            <w:pPr>
              <w:spacing w:after="20"/>
              <w:jc w:val="right"/>
            </w:pPr>
            <w:r/>
            <w:r>
              <w:rPr>
                <w:sz w:val="17"/>
              </w:rPr>
              <w:t>$43,120.00</w:t>
            </w:r>
          </w:p>
        </w:tc>
      </w:tr>
      <w:tr>
        <w:trPr>
          <w:cantSplit/>
        </w:trPr>
        <w:tc>
          <w:tcPr>
            <w:tcW w:type="dxa" w:w="945"/>
            <w:shd w:val="clear" w:color="auto" w:fill="F7F7F7"/>
          </w:tcPr>
          <w:p>
            <w:pPr>
              <w:spacing w:after="20"/>
            </w:pPr>
            <w:r/>
            <w:r>
              <w:rPr>
                <w:sz w:val="17"/>
              </w:rPr>
              <w:t>7</w:t>
            </w:r>
          </w:p>
        </w:tc>
        <w:tc>
          <w:tcPr>
            <w:tcW w:type="dxa" w:w="6614"/>
            <w:shd w:val="clear" w:color="auto" w:fill="F7F7F7"/>
          </w:tcPr>
          <w:p>
            <w:pPr>
              <w:spacing w:after="20"/>
            </w:pPr>
            <w:r/>
            <w:r>
              <w:rPr>
                <w:sz w:val="17"/>
              </w:rPr>
              <w:t>Optional asset class: road and footpath markings</w:t>
            </w:r>
          </w:p>
        </w:tc>
        <w:tc>
          <w:tcPr>
            <w:tcW w:type="dxa" w:w="2079"/>
            <w:shd w:val="clear" w:color="auto" w:fill="F7F7F7"/>
          </w:tcPr>
          <w:p>
            <w:pPr>
              <w:spacing w:after="20"/>
              <w:jc w:val="right"/>
            </w:pPr>
            <w:r/>
            <w:r>
              <w:rPr>
                <w:sz w:val="17"/>
              </w:rPr>
              <w:t>$38,060.00</w:t>
            </w:r>
          </w:p>
        </w:tc>
      </w:tr>
      <w:tr>
        <w:trPr>
          <w:cantSplit/>
        </w:trPr>
        <w:tc>
          <w:tcPr>
            <w:tcW w:type="dxa" w:w="945"/>
          </w:tcPr>
          <w:p>
            <w:pPr>
              <w:spacing w:after="20"/>
            </w:pPr>
            <w:r/>
            <w:r>
              <w:rPr>
                <w:sz w:val="17"/>
              </w:rPr>
              <w:t>8</w:t>
            </w:r>
          </w:p>
        </w:tc>
        <w:tc>
          <w:tcPr>
            <w:tcW w:type="dxa" w:w="6614"/>
          </w:tcPr>
          <w:p>
            <w:pPr>
              <w:spacing w:after="20"/>
            </w:pPr>
            <w:r/>
            <w:r>
              <w:rPr>
                <w:sz w:val="17"/>
              </w:rPr>
              <w:t>Optional asset class: retaining walls and comprehensive revaluation</w:t>
            </w:r>
          </w:p>
        </w:tc>
        <w:tc>
          <w:tcPr>
            <w:tcW w:type="dxa" w:w="2079"/>
          </w:tcPr>
          <w:p>
            <w:pPr>
              <w:spacing w:after="20"/>
              <w:jc w:val="right"/>
            </w:pPr>
            <w:r/>
            <w:r>
              <w:rPr>
                <w:sz w:val="17"/>
              </w:rPr>
              <w:t>$20,380.00</w:t>
            </w:r>
          </w:p>
        </w:tc>
      </w:tr>
      <w:tr>
        <w:trPr>
          <w:cantSplit/>
        </w:trPr>
        <w:tc>
          <w:tcPr>
            <w:tcW w:type="dxa" w:w="945"/>
            <w:shd w:val="clear" w:color="auto" w:fill="F7F7F7"/>
          </w:tcPr>
          <w:p>
            <w:pPr>
              <w:spacing w:after="20"/>
            </w:pPr>
            <w:r/>
            <w:r>
              <w:rPr>
                <w:sz w:val="17"/>
              </w:rPr>
              <w:t>9</w:t>
            </w:r>
          </w:p>
        </w:tc>
        <w:tc>
          <w:tcPr>
            <w:tcW w:type="dxa" w:w="6614"/>
            <w:shd w:val="clear" w:color="auto" w:fill="F7F7F7"/>
          </w:tcPr>
          <w:p>
            <w:pPr>
              <w:spacing w:after="20"/>
            </w:pPr>
            <w:r/>
            <w:r>
              <w:rPr>
                <w:sz w:val="17"/>
              </w:rPr>
              <w:t>Optional Service A: Transport Asset Prioritisation Analysis</w:t>
            </w:r>
          </w:p>
        </w:tc>
        <w:tc>
          <w:tcPr>
            <w:tcW w:type="dxa" w:w="2079"/>
            <w:shd w:val="clear" w:color="auto" w:fill="F7F7F7"/>
          </w:tcPr>
          <w:p>
            <w:pPr>
              <w:spacing w:after="20"/>
              <w:jc w:val="right"/>
            </w:pPr>
            <w:r/>
            <w:r>
              <w:rPr>
                <w:sz w:val="17"/>
              </w:rPr>
              <w:t>$13,680.00</w:t>
            </w:r>
          </w:p>
        </w:tc>
      </w:tr>
      <w:tr>
        <w:trPr>
          <w:cantSplit/>
        </w:trPr>
        <w:tc>
          <w:tcPr>
            <w:tcW w:type="dxa" w:w="945"/>
          </w:tcPr>
          <w:p>
            <w:pPr>
              <w:keepNext/>
              <w:spacing w:after="20"/>
            </w:pPr>
            <w:r/>
            <w:r>
              <w:rPr>
                <w:sz w:val="17"/>
              </w:rPr>
              <w:t>10 (rate)</w:t>
            </w:r>
          </w:p>
        </w:tc>
        <w:tc>
          <w:tcPr>
            <w:tcW w:type="dxa" w:w="6614"/>
          </w:tcPr>
          <w:p>
            <w:pPr>
              <w:keepNext/>
              <w:spacing w:after="20"/>
            </w:pPr>
            <w:r/>
            <w:r>
              <w:rPr>
                <w:sz w:val="17"/>
              </w:rPr>
              <w:t>Optional rate, not in totals: drone capture of a specific asset outside 5.5 km of Sydney and Bankstown airports and clear of people, per site (half day on site, processing, orthophoto or terrain model, GIS layer, high-resolution aerial stills of existing condition and defects)</w:t>
            </w:r>
          </w:p>
        </w:tc>
        <w:tc>
          <w:tcPr>
            <w:tcW w:type="dxa" w:w="2079"/>
          </w:tcPr>
          <w:p>
            <w:pPr>
              <w:keepNext/>
              <w:spacing w:after="20"/>
              <w:jc w:val="right"/>
            </w:pPr>
            <w:r/>
            <w:r>
              <w:rPr>
                <w:sz w:val="17"/>
              </w:rPr>
              <w:t>$1,450.00 per site</w:t>
            </w:r>
          </w:p>
        </w:tc>
      </w:tr>
      <w:tr>
        <w:trPr>
          <w:cantSplit/>
        </w:trPr>
        <w:tc>
          <w:tcPr>
            <w:tcW w:type="dxa" w:w="945"/>
            <w:shd w:val="clear" w:color="auto" w:fill="F3E9C6"/>
          </w:tcPr>
          <w:p>
            <w:pPr>
              <w:spacing w:after="20"/>
            </w:pPr>
            <w:r/>
            <w:r>
              <w:rPr>
                <w:b/>
                <w:sz w:val="17"/>
              </w:rPr>
            </w:r>
          </w:p>
        </w:tc>
        <w:tc>
          <w:tcPr>
            <w:tcW w:type="dxa" w:w="6614"/>
            <w:shd w:val="clear" w:color="auto" w:fill="F3E9C6"/>
          </w:tcPr>
          <w:p>
            <w:pPr>
              <w:spacing w:after="20"/>
            </w:pPr>
            <w:r/>
            <w:r>
              <w:rPr>
                <w:b/>
                <w:sz w:val="17"/>
              </w:rPr>
              <w:t>All optional items 4 to 9 (excl. GST); GST $19,922.00; incl. GST $219,142.00</w:t>
            </w:r>
          </w:p>
        </w:tc>
        <w:tc>
          <w:tcPr>
            <w:tcW w:type="dxa" w:w="2079"/>
            <w:shd w:val="clear" w:color="auto" w:fill="F3E9C6"/>
          </w:tcPr>
          <w:p>
            <w:pPr>
              <w:spacing w:after="20"/>
              <w:jc w:val="right"/>
            </w:pPr>
            <w:r/>
            <w:r>
              <w:rPr>
                <w:b/>
                <w:sz w:val="17"/>
              </w:rPr>
              <w:t>$199,220.00</w:t>
            </w:r>
          </w:p>
        </w:tc>
      </w:tr>
    </w:tbl>
    <w:p>
      <w:pPr>
        <w:spacing w:after="40"/>
      </w:pP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1112"/>
        <w:gridCol w:w="6487"/>
        <w:gridCol w:w="2039"/>
      </w:tblGrid>
      <w:tr>
        <w:trPr>
          <w:tblHeader/>
          <w:cantSplit/>
        </w:trPr>
        <w:tc>
          <w:tcPr>
            <w:tcW w:type="dxa" w:w="1112"/>
            <w:shd w:val="clear" w:color="auto" w:fill="000000"/>
          </w:tcPr>
          <w:p>
            <w:pPr>
              <w:keepNext/>
            </w:pPr>
            <w:r/>
            <w:r>
              <w:rPr>
                <w:b/>
                <w:color w:val="FFFFFF"/>
                <w:sz w:val="17"/>
              </w:rPr>
              <w:t>Part</w:t>
            </w:r>
          </w:p>
        </w:tc>
        <w:tc>
          <w:tcPr>
            <w:tcW w:type="dxa" w:w="6487"/>
            <w:shd w:val="clear" w:color="auto" w:fill="000000"/>
          </w:tcPr>
          <w:p>
            <w:pPr>
              <w:keepNext/>
            </w:pPr>
            <w:r/>
            <w:r>
              <w:rPr>
                <w:b/>
                <w:color w:val="FFFFFF"/>
                <w:sz w:val="17"/>
              </w:rPr>
              <w:t>Breakdown of Item 1</w:t>
            </w:r>
          </w:p>
        </w:tc>
        <w:tc>
          <w:tcPr>
            <w:tcW w:type="dxa" w:w="2039"/>
            <w:shd w:val="clear" w:color="auto" w:fill="000000"/>
          </w:tcPr>
          <w:p>
            <w:pPr>
              <w:keepNext/>
            </w:pPr>
            <w:r/>
            <w:r>
              <w:rPr>
                <w:b/>
                <w:color w:val="FFFFFF"/>
                <w:sz w:val="17"/>
              </w:rPr>
              <w:t>Amount (excl. GST)</w:t>
            </w:r>
          </w:p>
        </w:tc>
      </w:tr>
      <w:tr>
        <w:trPr>
          <w:cantSplit/>
        </w:trPr>
        <w:tc>
          <w:tcPr>
            <w:tcW w:type="dxa" w:w="1112"/>
          </w:tcPr>
          <w:p>
            <w:pPr>
              <w:keepNext/>
              <w:spacing w:after="20"/>
            </w:pPr>
            <w:r/>
            <w:r>
              <w:rPr>
                <w:sz w:val="17"/>
              </w:rPr>
              <w:t>Stage 1</w:t>
            </w:r>
          </w:p>
        </w:tc>
        <w:tc>
          <w:tcPr>
            <w:tcW w:type="dxa" w:w="6487"/>
          </w:tcPr>
          <w:p>
            <w:pPr>
              <w:keepNext/>
              <w:spacing w:after="20"/>
            </w:pPr>
            <w:r/>
            <w:r>
              <w:rPr>
                <w:sz w:val="17"/>
              </w:rPr>
              <w:t>Inception, stakeholder meeting, Council data review, capture forms, methodology and QA plan</w:t>
            </w:r>
          </w:p>
        </w:tc>
        <w:tc>
          <w:tcPr>
            <w:tcW w:type="dxa" w:w="2039"/>
          </w:tcPr>
          <w:p>
            <w:pPr>
              <w:keepNext/>
              <w:spacing w:after="20"/>
              <w:jc w:val="right"/>
            </w:pPr>
            <w:r/>
            <w:r>
              <w:rPr>
                <w:sz w:val="17"/>
              </w:rPr>
              <w:t>$10,000.00</w:t>
            </w:r>
          </w:p>
        </w:tc>
      </w:tr>
      <w:tr>
        <w:trPr>
          <w:cantSplit/>
        </w:trPr>
        <w:tc>
          <w:tcPr>
            <w:tcW w:type="dxa" w:w="1112"/>
            <w:shd w:val="clear" w:color="auto" w:fill="F7F7F7"/>
          </w:tcPr>
          <w:p>
            <w:pPr>
              <w:spacing w:after="20"/>
            </w:pPr>
            <w:r/>
            <w:r>
              <w:rPr>
                <w:sz w:val="17"/>
              </w:rPr>
              <w:t>Stage 2</w:t>
            </w:r>
          </w:p>
        </w:tc>
        <w:tc>
          <w:tcPr>
            <w:tcW w:type="dxa" w:w="6487"/>
            <w:shd w:val="clear" w:color="auto" w:fill="F7F7F7"/>
          </w:tcPr>
          <w:p>
            <w:pPr>
              <w:spacing w:after="20"/>
            </w:pPr>
            <w:r/>
            <w:r>
              <w:rPr>
                <w:sz w:val="17"/>
              </w:rPr>
              <w:t>Field trial and two-week pilot: review, final review meeting and approval</w:t>
            </w:r>
          </w:p>
        </w:tc>
        <w:tc>
          <w:tcPr>
            <w:tcW w:type="dxa" w:w="2039"/>
            <w:shd w:val="clear" w:color="auto" w:fill="F7F7F7"/>
          </w:tcPr>
          <w:p>
            <w:pPr>
              <w:spacing w:after="20"/>
              <w:jc w:val="right"/>
            </w:pPr>
            <w:r/>
            <w:r>
              <w:rPr>
                <w:sz w:val="17"/>
              </w:rPr>
              <w:t>$6,220.00</w:t>
            </w:r>
          </w:p>
        </w:tc>
      </w:tr>
      <w:tr>
        <w:trPr>
          <w:cantSplit/>
        </w:trPr>
        <w:tc>
          <w:tcPr>
            <w:tcW w:type="dxa" w:w="1112"/>
          </w:tcPr>
          <w:p>
            <w:pPr>
              <w:spacing w:after="20"/>
            </w:pPr>
            <w:r/>
            <w:r>
              <w:rPr>
                <w:sz w:val="17"/>
              </w:rPr>
              <w:t>Stage 3</w:t>
            </w:r>
          </w:p>
        </w:tc>
        <w:tc>
          <w:tcPr>
            <w:tcW w:type="dxa" w:w="6487"/>
          </w:tcPr>
          <w:p>
            <w:pPr>
              <w:spacing w:after="20"/>
            </w:pPr>
            <w:r/>
            <w:r>
              <w:rPr>
                <w:sz w:val="17"/>
              </w:rPr>
              <w:t>Field verification, weekly desktop audit sampling of partner imagery, defect escalation, including all JCE travel</w:t>
            </w:r>
          </w:p>
        </w:tc>
        <w:tc>
          <w:tcPr>
            <w:tcW w:type="dxa" w:w="2039"/>
          </w:tcPr>
          <w:p>
            <w:pPr>
              <w:spacing w:after="20"/>
              <w:jc w:val="right"/>
            </w:pPr>
            <w:r/>
            <w:r>
              <w:rPr>
                <w:sz w:val="17"/>
              </w:rPr>
              <w:t>$26,400.00</w:t>
            </w:r>
          </w:p>
        </w:tc>
      </w:tr>
      <w:tr>
        <w:trPr>
          <w:cantSplit/>
        </w:trPr>
        <w:tc>
          <w:tcPr>
            <w:tcW w:type="dxa" w:w="1112"/>
            <w:shd w:val="clear" w:color="auto" w:fill="F7F7F7"/>
          </w:tcPr>
          <w:p>
            <w:pPr>
              <w:spacing w:after="20"/>
            </w:pPr>
            <w:r/>
            <w:r>
              <w:rPr>
                <w:sz w:val="17"/>
              </w:rPr>
              <w:t>Stage 4</w:t>
            </w:r>
          </w:p>
        </w:tc>
        <w:tc>
          <w:tcPr>
            <w:tcW w:type="dxa" w:w="6487"/>
            <w:shd w:val="clear" w:color="auto" w:fill="F7F7F7"/>
          </w:tcPr>
          <w:p>
            <w:pPr>
              <w:spacing w:after="20"/>
            </w:pPr>
            <w:r/>
            <w:r>
              <w:rPr>
                <w:sz w:val="17"/>
              </w:rPr>
              <w:t>In-house GIS processing, asset register update files, data QA, reports, maintenance and renewal programs, workshop and final report</w:t>
            </w:r>
          </w:p>
        </w:tc>
        <w:tc>
          <w:tcPr>
            <w:tcW w:type="dxa" w:w="2039"/>
            <w:shd w:val="clear" w:color="auto" w:fill="F7F7F7"/>
          </w:tcPr>
          <w:p>
            <w:pPr>
              <w:spacing w:after="20"/>
              <w:jc w:val="right"/>
            </w:pPr>
            <w:r/>
            <w:r>
              <w:rPr>
                <w:sz w:val="17"/>
              </w:rPr>
              <w:t>$51,340.00</w:t>
            </w:r>
          </w:p>
        </w:tc>
      </w:tr>
      <w:tr>
        <w:trPr>
          <w:cantSplit/>
        </w:trPr>
        <w:tc>
          <w:tcPr>
            <w:tcW w:type="dxa" w:w="1112"/>
          </w:tcPr>
          <w:p>
            <w:pPr>
              <w:spacing w:after="20"/>
            </w:pPr>
            <w:r/>
            <w:r>
              <w:rPr>
                <w:sz w:val="17"/>
              </w:rPr>
              <w:t>Stage 5</w:t>
            </w:r>
          </w:p>
        </w:tc>
        <w:tc>
          <w:tcPr>
            <w:tcW w:type="dxa" w:w="6487"/>
          </w:tcPr>
          <w:p>
            <w:pPr>
              <w:spacing w:after="20"/>
            </w:pPr>
            <w:r/>
            <w:r>
              <w:rPr>
                <w:sz w:val="17"/>
              </w:rPr>
              <w:t>Comprehensive revaluation: methodology, unit rates, useful lives, calculations and reports</w:t>
            </w:r>
          </w:p>
        </w:tc>
        <w:tc>
          <w:tcPr>
            <w:tcW w:type="dxa" w:w="2039"/>
          </w:tcPr>
          <w:p>
            <w:pPr>
              <w:spacing w:after="20"/>
              <w:jc w:val="right"/>
            </w:pPr>
            <w:r/>
            <w:r>
              <w:rPr>
                <w:sz w:val="17"/>
              </w:rPr>
              <w:t>$21,320.00</w:t>
            </w:r>
          </w:p>
        </w:tc>
      </w:tr>
      <w:tr>
        <w:trPr>
          <w:cantSplit/>
        </w:trPr>
        <w:tc>
          <w:tcPr>
            <w:tcW w:type="dxa" w:w="1112"/>
            <w:shd w:val="clear" w:color="auto" w:fill="F7F7F7"/>
          </w:tcPr>
          <w:p>
            <w:pPr>
              <w:spacing w:after="20"/>
            </w:pPr>
            <w:r/>
            <w:r>
              <w:rPr>
                <w:sz w:val="17"/>
              </w:rPr>
              <w:t>Stage 6</w:t>
            </w:r>
          </w:p>
        </w:tc>
        <w:tc>
          <w:tcPr>
            <w:tcW w:type="dxa" w:w="6487"/>
            <w:shd w:val="clear" w:color="auto" w:fill="F7F7F7"/>
          </w:tcPr>
          <w:p>
            <w:pPr>
              <w:spacing w:after="20"/>
            </w:pPr>
            <w:r/>
            <w:r>
              <w:rPr>
                <w:sz w:val="17"/>
              </w:rPr>
              <w:t>Project management, quality review, associate technical review and certification (Sunny Lotay), close-out</w:t>
            </w:r>
          </w:p>
        </w:tc>
        <w:tc>
          <w:tcPr>
            <w:tcW w:type="dxa" w:w="2039"/>
            <w:shd w:val="clear" w:color="auto" w:fill="F7F7F7"/>
          </w:tcPr>
          <w:p>
            <w:pPr>
              <w:spacing w:after="20"/>
              <w:jc w:val="right"/>
            </w:pPr>
            <w:r/>
            <w:r>
              <w:rPr>
                <w:sz w:val="17"/>
              </w:rPr>
              <w:t>$11,120.00</w:t>
            </w:r>
          </w:p>
        </w:tc>
      </w:tr>
      <w:tr>
        <w:trPr>
          <w:cantSplit/>
        </w:trPr>
        <w:tc>
          <w:tcPr>
            <w:tcW w:type="dxa" w:w="1112"/>
          </w:tcPr>
          <w:p>
            <w:pPr>
              <w:spacing w:after="20"/>
            </w:pPr>
            <w:r/>
            <w:r>
              <w:rPr>
                <w:sz w:val="17"/>
              </w:rPr>
              <w:t>PS1</w:t>
            </w:r>
          </w:p>
        </w:tc>
        <w:tc>
          <w:tcPr>
            <w:tcW w:type="dxa" w:w="6487"/>
          </w:tcPr>
          <w:p>
            <w:pPr>
              <w:spacing w:after="20"/>
            </w:pPr>
            <w:r/>
            <w:r>
              <w:rPr>
                <w:sz w:val="17"/>
              </w:rPr>
              <w:t>Provisional sum: field data capture partner, inventory capture and condition rating of the mandatory classes (allowance $254,500 plus 10%)</w:t>
            </w:r>
          </w:p>
        </w:tc>
        <w:tc>
          <w:tcPr>
            <w:tcW w:type="dxa" w:w="2039"/>
          </w:tcPr>
          <w:p>
            <w:pPr>
              <w:spacing w:after="20"/>
              <w:jc w:val="right"/>
            </w:pPr>
            <w:r/>
            <w:r>
              <w:rPr>
                <w:sz w:val="17"/>
              </w:rPr>
              <w:t>$279,950.00</w:t>
            </w:r>
          </w:p>
        </w:tc>
      </w:tr>
      <w:tr>
        <w:trPr>
          <w:cantSplit/>
        </w:trPr>
        <w:tc>
          <w:tcPr>
            <w:tcW w:type="dxa" w:w="1112"/>
            <w:shd w:val="clear" w:color="auto" w:fill="F7F7F7"/>
          </w:tcPr>
          <w:p>
            <w:pPr>
              <w:keepNext/>
              <w:spacing w:after="20"/>
            </w:pPr>
            <w:r/>
            <w:r>
              <w:rPr>
                <w:sz w:val="17"/>
              </w:rPr>
              <w:t>PS2</w:t>
            </w:r>
          </w:p>
        </w:tc>
        <w:tc>
          <w:tcPr>
            <w:tcW w:type="dxa" w:w="6487"/>
            <w:shd w:val="clear" w:color="auto" w:fill="F7F7F7"/>
          </w:tcPr>
          <w:p>
            <w:pPr>
              <w:keepNext/>
              <w:spacing w:after="20"/>
            </w:pPr>
            <w:r/>
            <w:r>
              <w:rPr>
                <w:sz w:val="17"/>
              </w:rPr>
              <w:t>Provisional sum: valuation partner, review and signing of the revaluation (allowance plus 10%)</w:t>
            </w:r>
          </w:p>
        </w:tc>
        <w:tc>
          <w:tcPr>
            <w:tcW w:type="dxa" w:w="2039"/>
            <w:shd w:val="clear" w:color="auto" w:fill="F7F7F7"/>
          </w:tcPr>
          <w:p>
            <w:pPr>
              <w:keepNext/>
              <w:spacing w:after="20"/>
              <w:jc w:val="right"/>
            </w:pPr>
            <w:r/>
            <w:r>
              <w:rPr>
                <w:sz w:val="17"/>
              </w:rPr>
              <w:t>$27,500.00</w:t>
            </w:r>
          </w:p>
        </w:tc>
      </w:tr>
      <w:tr>
        <w:trPr>
          <w:cantSplit/>
        </w:trPr>
        <w:tc>
          <w:tcPr>
            <w:tcW w:type="dxa" w:w="1112"/>
            <w:shd w:val="clear" w:color="auto" w:fill="F3E9C6"/>
          </w:tcPr>
          <w:p>
            <w:pPr>
              <w:spacing w:after="20"/>
            </w:pPr>
            <w:r/>
            <w:r>
              <w:rPr>
                <w:b/>
                <w:sz w:val="17"/>
              </w:rPr>
            </w:r>
          </w:p>
        </w:tc>
        <w:tc>
          <w:tcPr>
            <w:tcW w:type="dxa" w:w="6487"/>
            <w:shd w:val="clear" w:color="auto" w:fill="F3E9C6"/>
          </w:tcPr>
          <w:p>
            <w:pPr>
              <w:spacing w:after="20"/>
            </w:pPr>
            <w:r/>
            <w:r>
              <w:rPr>
                <w:b/>
                <w:sz w:val="17"/>
              </w:rPr>
              <w:t>Item 1 (excl. GST)</w:t>
            </w:r>
          </w:p>
        </w:tc>
        <w:tc>
          <w:tcPr>
            <w:tcW w:type="dxa" w:w="2039"/>
            <w:shd w:val="clear" w:color="auto" w:fill="F3E9C6"/>
          </w:tcPr>
          <w:p>
            <w:pPr>
              <w:spacing w:after="20"/>
              <w:jc w:val="right"/>
            </w:pPr>
            <w:r/>
            <w:r>
              <w:rPr>
                <w:b/>
                <w:sz w:val="17"/>
              </w:rPr>
              <w:t>$433,850.00</w:t>
            </w:r>
          </w:p>
        </w:tc>
      </w:tr>
    </w:tbl>
    <w:p>
      <w:pPr>
        <w:spacing w:after="40"/>
      </w:pPr>
    </w:p>
    <w:p>
      <w:r>
        <w:rPr>
          <w:i w:val="0"/>
        </w:rPr>
        <w:t>Compared with Rev F, the GIS processing, data packaging and QA share of the capture partner's allowance ($38,500 before mark-up, and 8% of the partner part of Items 4 to 8) has moved to JCE hours in Stages 3 and 4. PS1 and PS2, and the partner components of Items 4 to 8, are JCE allowances priced from Council's quantities. They will be confirmed from partner quotes due 21/10/2026 before lodgement. [TBC - Jayden: replace with quoted amounts and update Items 1 and 4 to 8.]</w:t>
      </w:r>
    </w:p>
    <w:p>
      <w:r>
        <w:rPr>
          <w:i w:val="0"/>
        </w:rPr>
        <w:t>The lump sums include all travel and expenses and every asset found in the field. Work directed by Council as a variation is valued at the rates in Attachment A.</w:t>
      </w:r>
    </w:p>
    <w:p>
      <w:pPr>
        <w:pStyle w:val="Heading1"/>
        <w:pBdr>
          <w:bottom w:val="single" w:sz="6" w:space="1" w:color="C9A227"/>
        </w:pBdr>
      </w:pPr>
      <w:r>
        <w:t>10.0   Payment terms</w:t>
      </w:r>
    </w:p>
    <w:p>
      <w:r>
        <w:rPr>
          <w:i w:val="0"/>
        </w:rPr>
        <w:t>JCE will submit monthly payment claims against the stage lump sums with a tax invoice to the Contract Manager (copy to apinvoice@innerwest.nsw.gov.au), with payment of undisputed amounts within twenty business days, as clause 8 of the Consultancy Agreement provides. JCE will register with EFTsure as clause 8 requires.</w:t>
      </w:r>
    </w:p>
    <w:p>
      <w:pPr>
        <w:pStyle w:val="Heading1"/>
        <w:pBdr>
          <w:bottom w:val="single" w:sz="6" w:space="1" w:color="C9A227"/>
        </w:pBdr>
      </w:pPr>
      <w:r>
        <w:t>11.0   Exclusions and variations</w:t>
      </w:r>
    </w:p>
    <w:p>
      <w:pPr>
        <w:pStyle w:val="ListBullet"/>
        <w:spacing w:after="40"/>
      </w:pPr>
      <w:r>
        <w:t>State roads and kerb and gutter on State roads (footpaths on State roads are included), and assets owned by others.</w:t>
      </w:r>
    </w:p>
    <w:p>
      <w:pPr>
        <w:pStyle w:val="ListBullet"/>
        <w:spacing w:after="40"/>
      </w:pPr>
      <w:r>
        <w:t>Optional asset classes and Optional Service A not selected by Council.</w:t>
      </w:r>
    </w:p>
    <w:p>
      <w:pPr>
        <w:pStyle w:val="ListBullet"/>
        <w:spacing w:after="40"/>
      </w:pPr>
      <w:r>
        <w:t>Structural assessment of retaining walls, bridges or other structures; underground assets and stormwater drainage.</w:t>
      </w:r>
    </w:p>
    <w:p>
      <w:pPr>
        <w:pStyle w:val="ListBullet"/>
        <w:spacing w:after="40"/>
      </w:pPr>
      <w:r>
        <w:t>Design and documentation of repairs, renewals or upgrades, and delivery of maintenance works.</w:t>
      </w:r>
    </w:p>
    <w:p>
      <w:pPr>
        <w:pStyle w:val="ListBullet"/>
        <w:spacing w:after="40"/>
      </w:pPr>
      <w:r>
        <w:t>Entry of data into Council's corporate systems (JCE supplies import-ready files), and revaluations at dates other than the agreed valuation date.</w:t>
      </w:r>
    </w:p>
    <w:p>
      <w:r>
        <w:rPr>
          <w:b/>
        </w:rPr>
        <w:t xml:space="preserve">Variations. </w:t>
      </w:r>
      <w:r>
        <w:rPr>
          <w:i w:val="0"/>
        </w:rPr>
        <w:t>Changes directed by Council under clause 7 of the Consultancy Agreement are valued at the rates in Attachment A, with an indicative quote first where Council asks for one.</w:t>
      </w:r>
    </w:p>
    <w:p>
      <w:pPr>
        <w:pStyle w:val="Heading1"/>
        <w:pBdr>
          <w:bottom w:val="single" w:sz="6" w:space="1" w:color="C9A227"/>
        </w:pBdr>
      </w:pPr>
      <w:r>
        <w:t>12.0   Insurance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1928"/>
        <w:gridCol w:w="2699"/>
        <w:gridCol w:w="5012"/>
      </w:tblGrid>
      <w:tr>
        <w:trPr>
          <w:tblHeader/>
          <w:cantSplit/>
        </w:trPr>
        <w:tc>
          <w:tcPr>
            <w:tcW w:type="dxa" w:w="1928"/>
            <w:shd w:val="clear" w:color="auto" w:fill="000000"/>
          </w:tcPr>
          <w:p>
            <w:pPr>
              <w:keepNext/>
            </w:pPr>
            <w:r/>
            <w:r>
              <w:rPr>
                <w:b/>
                <w:color w:val="FFFFFF"/>
                <w:sz w:val="17"/>
              </w:rPr>
              <w:t>Cover</w:t>
            </w:r>
          </w:p>
        </w:tc>
        <w:tc>
          <w:tcPr>
            <w:tcW w:type="dxa" w:w="2699"/>
            <w:shd w:val="clear" w:color="auto" w:fill="000000"/>
          </w:tcPr>
          <w:p>
            <w:pPr>
              <w:keepNext/>
            </w:pPr>
            <w:r/>
            <w:r>
              <w:rPr>
                <w:b/>
                <w:color w:val="FFFFFF"/>
                <w:sz w:val="17"/>
              </w:rPr>
              <w:t>Council requirement</w:t>
            </w:r>
          </w:p>
        </w:tc>
        <w:tc>
          <w:tcPr>
            <w:tcW w:type="dxa" w:w="5012"/>
            <w:shd w:val="clear" w:color="auto" w:fill="000000"/>
          </w:tcPr>
          <w:p>
            <w:pPr>
              <w:keepNext/>
            </w:pPr>
            <w:r/>
            <w:r>
              <w:rPr>
                <w:b/>
                <w:color w:val="FFFFFF"/>
                <w:sz w:val="17"/>
              </w:rPr>
              <w:t>JCE position</w:t>
            </w:r>
          </w:p>
        </w:tc>
      </w:tr>
      <w:tr>
        <w:trPr>
          <w:cantSplit/>
        </w:trPr>
        <w:tc>
          <w:tcPr>
            <w:tcW w:type="dxa" w:w="1928"/>
          </w:tcPr>
          <w:p>
            <w:pPr>
              <w:keepNext/>
              <w:spacing w:after="20"/>
            </w:pPr>
            <w:r/>
            <w:r>
              <w:rPr>
                <w:sz w:val="17"/>
              </w:rPr>
              <w:t>Public liability</w:t>
            </w:r>
          </w:p>
        </w:tc>
        <w:tc>
          <w:tcPr>
            <w:tcW w:type="dxa" w:w="2699"/>
          </w:tcPr>
          <w:p>
            <w:pPr>
              <w:keepNext/>
              <w:spacing w:after="20"/>
            </w:pPr>
            <w:r/>
            <w:r>
              <w:rPr>
                <w:sz w:val="17"/>
              </w:rPr>
              <w:t>$20 million per occurrence</w:t>
            </w:r>
          </w:p>
        </w:tc>
        <w:tc>
          <w:tcPr>
            <w:tcW w:type="dxa" w:w="5012"/>
          </w:tcPr>
          <w:p>
            <w:pPr>
              <w:keepNext/>
              <w:spacing w:after="20"/>
            </w:pPr>
            <w:r/>
            <w:r>
              <w:rPr>
                <w:sz w:val="17"/>
              </w:rPr>
              <w:t>JCE holds $10 million (Zurich Australian Insurance Limited, policy 05-ENG-I-0077656, expiry 02/07/2027) and will lift it to $20 million per occurrence on award, before the Services commence (clause 12.1).</w:t>
            </w:r>
          </w:p>
        </w:tc>
      </w:tr>
      <w:tr>
        <w:trPr>
          <w:cantSplit/>
        </w:trPr>
        <w:tc>
          <w:tcPr>
            <w:tcW w:type="dxa" w:w="1928"/>
            <w:shd w:val="clear" w:color="auto" w:fill="F7F7F7"/>
          </w:tcPr>
          <w:p>
            <w:pPr>
              <w:spacing w:after="20"/>
            </w:pPr>
            <w:r/>
            <w:r>
              <w:rPr>
                <w:sz w:val="17"/>
              </w:rPr>
              <w:t>Professional indemnity</w:t>
            </w:r>
          </w:p>
        </w:tc>
        <w:tc>
          <w:tcPr>
            <w:tcW w:type="dxa" w:w="2699"/>
            <w:shd w:val="clear" w:color="auto" w:fill="F7F7F7"/>
          </w:tcPr>
          <w:p>
            <w:pPr>
              <w:spacing w:after="20"/>
            </w:pPr>
            <w:r/>
            <w:r>
              <w:rPr>
                <w:sz w:val="17"/>
              </w:rPr>
              <w:t>$10 million per claim and in the aggregate, held 7 years after completion</w:t>
            </w:r>
          </w:p>
        </w:tc>
        <w:tc>
          <w:tcPr>
            <w:tcW w:type="dxa" w:w="5012"/>
            <w:shd w:val="clear" w:color="auto" w:fill="F7F7F7"/>
          </w:tcPr>
          <w:p>
            <w:pPr>
              <w:spacing w:after="20"/>
            </w:pPr>
            <w:r/>
            <w:r>
              <w:rPr>
                <w:sz w:val="17"/>
              </w:rPr>
              <w:t>JCE holds $10 million any one claim and $20 million in the aggregate (Certain Underwriters at Lloyd's, Markel Syndicate 3000, policy 05-ENG-I-0077656, expiry 02/07/2027) and will maintain cover for seven years after completion (clause 12.4).</w:t>
            </w:r>
          </w:p>
        </w:tc>
      </w:tr>
      <w:tr>
        <w:trPr>
          <w:cantSplit/>
        </w:trPr>
        <w:tc>
          <w:tcPr>
            <w:tcW w:type="dxa" w:w="1928"/>
          </w:tcPr>
          <w:p>
            <w:pPr>
              <w:spacing w:after="20"/>
            </w:pPr>
            <w:r/>
            <w:r>
              <w:rPr>
                <w:sz w:val="17"/>
              </w:rPr>
              <w:t>Workers compensation</w:t>
            </w:r>
          </w:p>
        </w:tc>
        <w:tc>
          <w:tcPr>
            <w:tcW w:type="dxa" w:w="2699"/>
          </w:tcPr>
          <w:p>
            <w:pPr>
              <w:spacing w:after="20"/>
            </w:pPr>
            <w:r/>
            <w:r>
              <w:rPr>
                <w:sz w:val="17"/>
              </w:rPr>
              <w:t>As required by law</w:t>
            </w:r>
          </w:p>
        </w:tc>
        <w:tc>
          <w:tcPr>
            <w:tcW w:type="dxa" w:w="5012"/>
          </w:tcPr>
          <w:p>
            <w:pPr>
              <w:spacing w:after="20"/>
            </w:pPr>
            <w:r/>
            <w:r>
              <w:rPr>
                <w:sz w:val="17"/>
              </w:rPr>
              <w:t>Held with icare NSW. [TBC - Jayden: policy number and certificate of currency]</w:t>
            </w:r>
          </w:p>
        </w:tc>
      </w:tr>
      <w:tr>
        <w:trPr>
          <w:cantSplit/>
        </w:trPr>
        <w:tc>
          <w:tcPr>
            <w:tcW w:type="dxa" w:w="1928"/>
            <w:shd w:val="clear" w:color="auto" w:fill="F7F7F7"/>
          </w:tcPr>
          <w:p>
            <w:pPr>
              <w:spacing w:after="20"/>
            </w:pPr>
            <w:r/>
            <w:r>
              <w:rPr>
                <w:sz w:val="17"/>
              </w:rPr>
              <w:t>Motor vehicle</w:t>
            </w:r>
          </w:p>
        </w:tc>
        <w:tc>
          <w:tcPr>
            <w:tcW w:type="dxa" w:w="2699"/>
            <w:shd w:val="clear" w:color="auto" w:fill="F7F7F7"/>
          </w:tcPr>
          <w:p>
            <w:pPr>
              <w:spacing w:after="20"/>
            </w:pPr>
            <w:r/>
            <w:r>
              <w:rPr>
                <w:sz w:val="17"/>
              </w:rPr>
              <w:t>No level set</w:t>
            </w:r>
          </w:p>
        </w:tc>
        <w:tc>
          <w:tcPr>
            <w:tcW w:type="dxa" w:w="5012"/>
            <w:shd w:val="clear" w:color="auto" w:fill="F7F7F7"/>
          </w:tcPr>
          <w:p>
            <w:pPr>
              <w:spacing w:after="20"/>
            </w:pPr>
            <w:r/>
            <w:r>
              <w:rPr>
                <w:sz w:val="17"/>
              </w:rPr>
              <w:t>NRMA Insurance certificate of 18/09/2026.</w:t>
            </w:r>
          </w:p>
        </w:tc>
      </w:tr>
      <w:tr>
        <w:trPr>
          <w:cantSplit/>
        </w:trPr>
        <w:tc>
          <w:tcPr>
            <w:tcW w:type="dxa" w:w="1928"/>
          </w:tcPr>
          <w:p>
            <w:pPr>
              <w:spacing w:after="20"/>
            </w:pPr>
            <w:r/>
            <w:r>
              <w:rPr>
                <w:sz w:val="17"/>
              </w:rPr>
              <w:t>Drone (optional Item 10 only)</w:t>
            </w:r>
          </w:p>
        </w:tc>
        <w:tc>
          <w:tcPr>
            <w:tcW w:type="dxa" w:w="2699"/>
          </w:tcPr>
          <w:p>
            <w:pPr>
              <w:spacing w:after="20"/>
            </w:pPr>
            <w:r/>
            <w:r>
              <w:rPr>
                <w:sz w:val="17"/>
              </w:rPr>
              <w:t>Not specified</w:t>
            </w:r>
          </w:p>
        </w:tc>
        <w:tc>
          <w:tcPr>
            <w:tcW w:type="dxa" w:w="5012"/>
          </w:tcPr>
          <w:p>
            <w:pPr>
              <w:spacing w:after="20"/>
            </w:pPr>
            <w:r/>
            <w:r>
              <w:rPr>
                <w:sz w:val="17"/>
              </w:rPr>
              <w:t>[TBC - Jayden: confirm public liability covers drone operations, or arrange aviation liability, before any drone flight]</w:t>
            </w:r>
          </w:p>
        </w:tc>
      </w:tr>
    </w:tbl>
    <w:p>
      <w:pPr>
        <w:spacing w:after="40"/>
      </w:pPr>
    </w:p>
    <w:p>
      <w:r>
        <w:rPr>
          <w:i w:val="0"/>
        </w:rPr>
        <w:t>Each partner will hold public liability and professional indemnity insurance at Council's levels, and their certificates will be supplied in Returnable 13.</w:t>
      </w:r>
    </w:p>
    <w:p>
      <w:pPr>
        <w:pStyle w:val="Heading1"/>
        <w:pBdr>
          <w:bottom w:val="single" w:sz="6" w:space="1" w:color="C9A227"/>
        </w:pBdr>
      </w:pPr>
      <w:r>
        <w:t>13.0   Contract, conflict of interest and validity</w:t>
      </w:r>
    </w:p>
    <w:p>
      <w:r>
        <w:rPr>
          <w:b/>
        </w:rPr>
        <w:t xml:space="preserve">Contract. </w:t>
      </w:r>
      <w:r>
        <w:rPr>
          <w:i w:val="0"/>
        </w:rPr>
        <w:t>JCE has reviewed Council's draft Consultancy Agreement (RFT 47-26) and offers to contract on it, subject only to the amendments listed in Returnable 4.</w:t>
      </w:r>
    </w:p>
    <w:p>
      <w:r>
        <w:rPr>
          <w:b/>
        </w:rPr>
        <w:t xml:space="preserve">Conflict of interest. </w:t>
      </w:r>
      <w:r>
        <w:rPr>
          <w:i w:val="0"/>
        </w:rPr>
        <w:t>JCE has no actual or potential conflict of interest. Each partner will declare any previous work for Council on these assets before it is named in the tender, and JCE will disclose any such work in Returnable 1.</w:t>
      </w:r>
    </w:p>
    <w:p>
      <w:r>
        <w:rPr>
          <w:b/>
        </w:rPr>
        <w:t xml:space="preserve">Validity. </w:t>
      </w:r>
      <w:r>
        <w:rPr>
          <w:i w:val="0"/>
        </w:rPr>
        <w:t>This offer remains open for acceptance for ninety calendar days from the closing date, to 26/01/2027.</w:t>
      </w:r>
    </w:p>
    <w:p>
      <w:pPr>
        <w:pStyle w:val="Heading1"/>
        <w:pBdr>
          <w:bottom w:val="single" w:sz="6" w:space="1" w:color="C9A227"/>
        </w:pBdr>
      </w:pPr>
      <w:r>
        <w:t>14.0   Offer and acceptance</w:t>
      </w:r>
    </w:p>
    <w:p>
      <w:pPr>
        <w:keepNext/>
      </w:pPr>
      <w:r>
        <w:rPr>
          <w:i w:val="0"/>
        </w:rPr>
        <w:t>JCE offers to provide the services described in this proposal for the prices in Section 9.0, on the basis set out in Sections 8.0, 11.0 and 13.0.</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126"/>
        <w:gridCol w:w="6512"/>
      </w:tblGrid>
      <w:tr>
        <w:trPr>
          <w:cantSplit/>
        </w:trPr>
        <w:tc>
          <w:tcPr>
            <w:tcW w:type="dxa" w:w="3126"/>
            <w:shd w:val="clear" w:color="auto" w:fill="F3E9C6"/>
          </w:tcPr>
          <w:p>
            <w:pPr>
              <w:keepNext/>
            </w:pPr>
            <w:r/>
            <w:r>
              <w:rPr>
                <w:b/>
                <w:sz w:val="18"/>
              </w:rPr>
              <w:t>Offered by</w:t>
            </w:r>
          </w:p>
        </w:tc>
        <w:tc>
          <w:tcPr>
            <w:tcW w:type="dxa" w:w="6512"/>
          </w:tcPr>
          <w:p>
            <w:pPr>
              <w:keepNext/>
              <w:spacing w:after="20"/>
            </w:pPr>
            <w:r/>
            <w:r>
              <w:rPr>
                <w:sz w:val="18"/>
              </w:rPr>
              <w:t>[signature]</w:t>
            </w:r>
          </w:p>
          <w:p>
            <w:pPr>
              <w:keepNext/>
              <w:spacing w:after="20"/>
            </w:pPr>
            <w:r>
              <w:rPr>
                <w:sz w:val="18"/>
              </w:rPr>
            </w:r>
          </w:p>
          <w:p>
            <w:pPr>
              <w:keepNext/>
              <w:spacing w:after="20"/>
            </w:pPr>
            <w:r>
              <w:rPr>
                <w:sz w:val="18"/>
              </w:rPr>
              <w:t>Jayden Callen, BEng (Hons), MIEAust</w:t>
            </w:r>
          </w:p>
          <w:p>
            <w:pPr>
              <w:keepNext/>
              <w:spacing w:after="20"/>
            </w:pPr>
            <w:r>
              <w:rPr>
                <w:sz w:val="18"/>
              </w:rPr>
              <w:t>Director, JCE Infrastructure Pty Ltd</w:t>
            </w:r>
          </w:p>
          <w:p>
            <w:pPr>
              <w:keepNext/>
              <w:spacing w:after="20"/>
            </w:pPr>
            <w:r>
              <w:rPr>
                <w:sz w:val="18"/>
              </w:rPr>
              <w:t>ABN 29 699 165 663</w:t>
            </w:r>
          </w:p>
          <w:p>
            <w:pPr>
              <w:keepNext/>
              <w:spacing w:after="20"/>
            </w:pPr>
            <w:r>
              <w:rPr>
                <w:sz w:val="18"/>
              </w:rPr>
              <w:t>Date: ____/____/2026</w:t>
            </w:r>
          </w:p>
        </w:tc>
      </w:tr>
      <w:tr>
        <w:trPr>
          <w:cantSplit/>
        </w:trPr>
        <w:tc>
          <w:tcPr>
            <w:tcW w:type="dxa" w:w="3126"/>
            <w:shd w:val="clear" w:color="auto" w:fill="F3E9C6"/>
          </w:tcPr>
          <w:p>
            <w:pPr>
              <w:keepNext/>
            </w:pPr>
            <w:r/>
            <w:r>
              <w:rPr>
                <w:b/>
                <w:sz w:val="18"/>
              </w:rPr>
              <w:t>Accepted for and on behalf of Inner West Council</w:t>
            </w:r>
          </w:p>
        </w:tc>
        <w:tc>
          <w:tcPr>
            <w:tcW w:type="dxa" w:w="6512"/>
          </w:tcPr>
          <w:p>
            <w:pPr>
              <w:keepNext/>
              <w:spacing w:after="20"/>
            </w:pPr>
            <w:r/>
            <w:r>
              <w:rPr>
                <w:sz w:val="18"/>
              </w:rPr>
              <w:t>Signature: ______________________</w:t>
            </w:r>
          </w:p>
          <w:p>
            <w:pPr>
              <w:keepNext/>
              <w:spacing w:after="20"/>
            </w:pPr>
            <w:r>
              <w:rPr>
                <w:sz w:val="18"/>
              </w:rPr>
            </w:r>
          </w:p>
          <w:p>
            <w:pPr>
              <w:keepNext/>
              <w:spacing w:after="20"/>
            </w:pPr>
            <w:r>
              <w:rPr>
                <w:sz w:val="18"/>
              </w:rPr>
              <w:t>Name: ______________________</w:t>
            </w:r>
          </w:p>
          <w:p>
            <w:pPr>
              <w:keepNext/>
              <w:spacing w:after="20"/>
            </w:pPr>
            <w:r>
              <w:rPr>
                <w:sz w:val="18"/>
              </w:rPr>
              <w:t>Position: ______________________</w:t>
            </w:r>
          </w:p>
          <w:p>
            <w:pPr>
              <w:keepNext/>
              <w:spacing w:after="20"/>
            </w:pPr>
            <w:r>
              <w:rPr>
                <w:sz w:val="18"/>
              </w:rPr>
              <w:t>Date: ____/____/______</w:t>
            </w:r>
          </w:p>
        </w:tc>
      </w:tr>
    </w:tbl>
    <w:p>
      <w:pPr>
        <w:spacing w:after="40"/>
      </w:pPr>
    </w:p>
    <w:p>
      <w:r>
        <w:br w:type="page"/>
      </w:r>
    </w:p>
    <w:p>
      <w:pPr>
        <w:pStyle w:val="Heading1"/>
        <w:pBdr>
          <w:bottom w:val="single" w:sz="6" w:space="1" w:color="C9A227"/>
        </w:pBdr>
      </w:pPr>
      <w:r>
        <w:t>Attachment A   Schedule of rates</w:t>
      </w:r>
    </w:p>
    <w:p>
      <w:r>
        <w:rPr>
          <w:i w:val="0"/>
        </w:rPr>
        <w:t>Applies to variations directed by Council. Rates exclude GST. A day is eight hours. Disbursements other than vehicle travel are charged at cost.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5354"/>
        <w:gridCol w:w="4283"/>
      </w:tblGrid>
      <w:tr>
        <w:trPr>
          <w:tblHeader/>
          <w:cantSplit/>
        </w:trPr>
        <w:tc>
          <w:tcPr>
            <w:tcW w:type="dxa" w:w="5354"/>
            <w:shd w:val="clear" w:color="auto" w:fill="000000"/>
          </w:tcPr>
          <w:p>
            <w:pPr>
              <w:keepNext/>
            </w:pPr>
            <w:r/>
            <w:r>
              <w:rPr>
                <w:b/>
                <w:color w:val="FFFFFF"/>
                <w:sz w:val="17"/>
              </w:rPr>
              <w:t>JCE role</w:t>
            </w:r>
          </w:p>
        </w:tc>
        <w:tc>
          <w:tcPr>
            <w:tcW w:type="dxa" w:w="4283"/>
            <w:shd w:val="clear" w:color="auto" w:fill="000000"/>
          </w:tcPr>
          <w:p>
            <w:pPr>
              <w:keepNext/>
            </w:pPr>
            <w:r/>
            <w:r>
              <w:rPr>
                <w:b/>
                <w:color w:val="FFFFFF"/>
                <w:sz w:val="17"/>
              </w:rPr>
              <w:t>Rate (excl. GST)</w:t>
            </w:r>
          </w:p>
        </w:tc>
      </w:tr>
      <w:tr>
        <w:trPr>
          <w:cantSplit/>
        </w:trPr>
        <w:tc>
          <w:tcPr>
            <w:tcW w:type="dxa" w:w="5354"/>
          </w:tcPr>
          <w:p>
            <w:pPr>
              <w:keepNext/>
              <w:spacing w:after="20"/>
            </w:pPr>
            <w:r/>
            <w:r>
              <w:rPr>
                <w:sz w:val="17"/>
              </w:rPr>
              <w:t>Director / Principal Engineer</w:t>
            </w:r>
          </w:p>
        </w:tc>
        <w:tc>
          <w:tcPr>
            <w:tcW w:type="dxa" w:w="4283"/>
          </w:tcPr>
          <w:p>
            <w:pPr>
              <w:keepNext/>
              <w:spacing w:after="20"/>
              <w:jc w:val="right"/>
            </w:pPr>
            <w:r/>
            <w:r>
              <w:rPr>
                <w:sz w:val="17"/>
              </w:rPr>
              <w:t>$200/hr; $1,600/day</w:t>
            </w:r>
          </w:p>
        </w:tc>
      </w:tr>
      <w:tr>
        <w:trPr>
          <w:cantSplit/>
        </w:trPr>
        <w:tc>
          <w:tcPr>
            <w:tcW w:type="dxa" w:w="5354"/>
            <w:shd w:val="clear" w:color="auto" w:fill="F7F7F7"/>
          </w:tcPr>
          <w:p>
            <w:pPr>
              <w:spacing w:after="20"/>
            </w:pPr>
            <w:r/>
            <w:r>
              <w:rPr>
                <w:sz w:val="17"/>
              </w:rPr>
              <w:t>Specialist advice / independent peer review</w:t>
            </w:r>
          </w:p>
        </w:tc>
        <w:tc>
          <w:tcPr>
            <w:tcW w:type="dxa" w:w="4283"/>
            <w:shd w:val="clear" w:color="auto" w:fill="F7F7F7"/>
          </w:tcPr>
          <w:p>
            <w:pPr>
              <w:spacing w:after="20"/>
              <w:jc w:val="right"/>
            </w:pPr>
            <w:r/>
            <w:r>
              <w:rPr>
                <w:sz w:val="17"/>
              </w:rPr>
              <w:t>$200/hr; $1,600/day</w:t>
            </w:r>
          </w:p>
        </w:tc>
      </w:tr>
      <w:tr>
        <w:trPr>
          <w:cantSplit/>
        </w:trPr>
        <w:tc>
          <w:tcPr>
            <w:tcW w:type="dxa" w:w="5354"/>
          </w:tcPr>
          <w:p>
            <w:pPr>
              <w:spacing w:after="20"/>
            </w:pPr>
            <w:r/>
            <w:r>
              <w:rPr>
                <w:sz w:val="17"/>
              </w:rPr>
              <w:t>Senior Engineer</w:t>
            </w:r>
          </w:p>
        </w:tc>
        <w:tc>
          <w:tcPr>
            <w:tcW w:type="dxa" w:w="4283"/>
          </w:tcPr>
          <w:p>
            <w:pPr>
              <w:spacing w:after="20"/>
              <w:jc w:val="right"/>
            </w:pPr>
            <w:r/>
            <w:r>
              <w:rPr>
                <w:sz w:val="17"/>
              </w:rPr>
              <w:t>$190/hr; $1,520/day</w:t>
            </w:r>
          </w:p>
        </w:tc>
      </w:tr>
      <w:tr>
        <w:trPr>
          <w:cantSplit/>
        </w:trPr>
        <w:tc>
          <w:tcPr>
            <w:tcW w:type="dxa" w:w="5354"/>
            <w:shd w:val="clear" w:color="auto" w:fill="F7F7F7"/>
          </w:tcPr>
          <w:p>
            <w:pPr>
              <w:spacing w:after="20"/>
            </w:pPr>
            <w:r/>
            <w:r>
              <w:rPr>
                <w:sz w:val="17"/>
              </w:rPr>
              <w:t>Project Engineer</w:t>
            </w:r>
          </w:p>
        </w:tc>
        <w:tc>
          <w:tcPr>
            <w:tcW w:type="dxa" w:w="4283"/>
            <w:shd w:val="clear" w:color="auto" w:fill="F7F7F7"/>
          </w:tcPr>
          <w:p>
            <w:pPr>
              <w:spacing w:after="20"/>
              <w:jc w:val="right"/>
            </w:pPr>
            <w:r/>
            <w:r>
              <w:rPr>
                <w:sz w:val="17"/>
              </w:rPr>
              <w:t>$180/hr; $1,440/day</w:t>
            </w:r>
          </w:p>
        </w:tc>
      </w:tr>
      <w:tr>
        <w:trPr>
          <w:cantSplit/>
        </w:trPr>
        <w:tc>
          <w:tcPr>
            <w:tcW w:type="dxa" w:w="5354"/>
          </w:tcPr>
          <w:p>
            <w:pPr>
              <w:spacing w:after="20"/>
            </w:pPr>
            <w:r/>
            <w:r>
              <w:rPr>
                <w:sz w:val="17"/>
              </w:rPr>
              <w:t>Design Engineer</w:t>
            </w:r>
          </w:p>
        </w:tc>
        <w:tc>
          <w:tcPr>
            <w:tcW w:type="dxa" w:w="4283"/>
          </w:tcPr>
          <w:p>
            <w:pPr>
              <w:spacing w:after="20"/>
              <w:jc w:val="right"/>
            </w:pPr>
            <w:r/>
            <w:r>
              <w:rPr>
                <w:sz w:val="17"/>
              </w:rPr>
              <w:t>$170/hr; $1,360/day</w:t>
            </w:r>
          </w:p>
        </w:tc>
      </w:tr>
      <w:tr>
        <w:trPr>
          <w:cantSplit/>
        </w:trPr>
        <w:tc>
          <w:tcPr>
            <w:tcW w:type="dxa" w:w="5354"/>
            <w:shd w:val="clear" w:color="auto" w:fill="F7F7F7"/>
          </w:tcPr>
          <w:p>
            <w:pPr>
              <w:spacing w:after="20"/>
            </w:pPr>
            <w:r/>
            <w:r>
              <w:rPr>
                <w:sz w:val="17"/>
              </w:rPr>
              <w:t>CAD / GIS Technician</w:t>
            </w:r>
          </w:p>
        </w:tc>
        <w:tc>
          <w:tcPr>
            <w:tcW w:type="dxa" w:w="4283"/>
            <w:shd w:val="clear" w:color="auto" w:fill="F7F7F7"/>
          </w:tcPr>
          <w:p>
            <w:pPr>
              <w:spacing w:after="20"/>
              <w:jc w:val="right"/>
            </w:pPr>
            <w:r/>
            <w:r>
              <w:rPr>
                <w:sz w:val="17"/>
              </w:rPr>
              <w:t>$160/hr; $1,280/day</w:t>
            </w:r>
          </w:p>
        </w:tc>
      </w:tr>
      <w:tr>
        <w:trPr>
          <w:cantSplit/>
        </w:trPr>
        <w:tc>
          <w:tcPr>
            <w:tcW w:type="dxa" w:w="5354"/>
          </w:tcPr>
          <w:p>
            <w:pPr>
              <w:spacing w:after="20"/>
            </w:pPr>
            <w:r/>
            <w:r>
              <w:rPr>
                <w:sz w:val="17"/>
              </w:rPr>
              <w:t>GIS Technician (casual)</w:t>
            </w:r>
          </w:p>
        </w:tc>
        <w:tc>
          <w:tcPr>
            <w:tcW w:type="dxa" w:w="4283"/>
          </w:tcPr>
          <w:p>
            <w:pPr>
              <w:spacing w:after="20"/>
              <w:jc w:val="right"/>
            </w:pPr>
            <w:r/>
            <w:r>
              <w:rPr>
                <w:sz w:val="17"/>
              </w:rPr>
              <w:t>$120/hr; $960/day [TBC - Jayden]</w:t>
            </w:r>
          </w:p>
        </w:tc>
      </w:tr>
      <w:tr>
        <w:trPr>
          <w:cantSplit/>
        </w:trPr>
        <w:tc>
          <w:tcPr>
            <w:tcW w:type="dxa" w:w="5354"/>
            <w:shd w:val="clear" w:color="auto" w:fill="F7F7F7"/>
          </w:tcPr>
          <w:p>
            <w:pPr>
              <w:spacing w:after="20"/>
            </w:pPr>
            <w:r/>
            <w:r>
              <w:rPr>
                <w:sz w:val="17"/>
              </w:rPr>
              <w:t>Drone capture of a specific asset (optional, where lawful)</w:t>
            </w:r>
          </w:p>
        </w:tc>
        <w:tc>
          <w:tcPr>
            <w:tcW w:type="dxa" w:w="4283"/>
            <w:shd w:val="clear" w:color="auto" w:fill="F7F7F7"/>
          </w:tcPr>
          <w:p>
            <w:pPr>
              <w:spacing w:after="20"/>
              <w:jc w:val="right"/>
            </w:pPr>
            <w:r/>
            <w:r>
              <w:rPr>
                <w:sz w:val="17"/>
              </w:rPr>
              <w:t>$1,450 per site [TBC - Jayden]</w:t>
            </w:r>
          </w:p>
        </w:tc>
      </w:tr>
      <w:tr>
        <w:trPr>
          <w:cantSplit/>
        </w:trPr>
        <w:tc>
          <w:tcPr>
            <w:tcW w:type="dxa" w:w="5354"/>
          </w:tcPr>
          <w:p>
            <w:pPr>
              <w:spacing w:after="20"/>
            </w:pPr>
            <w:r/>
            <w:r>
              <w:rPr>
                <w:sz w:val="17"/>
              </w:rPr>
              <w:t>Administration / Document Control</w:t>
            </w:r>
          </w:p>
        </w:tc>
        <w:tc>
          <w:tcPr>
            <w:tcW w:type="dxa" w:w="4283"/>
          </w:tcPr>
          <w:p>
            <w:pPr>
              <w:spacing w:after="20"/>
              <w:jc w:val="right"/>
            </w:pPr>
            <w:r/>
            <w:r>
              <w:rPr>
                <w:sz w:val="17"/>
              </w:rPr>
              <w:t>$140/hr; $1,120/day</w:t>
            </w:r>
          </w:p>
        </w:tc>
      </w:tr>
      <w:tr>
        <w:trPr>
          <w:cantSplit/>
        </w:trPr>
        <w:tc>
          <w:tcPr>
            <w:tcW w:type="dxa" w:w="5354"/>
            <w:shd w:val="clear" w:color="auto" w:fill="F7F7F7"/>
          </w:tcPr>
          <w:p>
            <w:pPr>
              <w:spacing w:after="20"/>
            </w:pPr>
            <w:r/>
            <w:r>
              <w:rPr>
                <w:sz w:val="17"/>
              </w:rPr>
              <w:t>Vehicle travel</w:t>
            </w:r>
          </w:p>
        </w:tc>
        <w:tc>
          <w:tcPr>
            <w:tcW w:type="dxa" w:w="4283"/>
            <w:shd w:val="clear" w:color="auto" w:fill="F7F7F7"/>
          </w:tcPr>
          <w:p>
            <w:pPr>
              <w:spacing w:after="20"/>
              <w:jc w:val="right"/>
            </w:pPr>
            <w:r/>
            <w:r>
              <w:rPr>
                <w:sz w:val="17"/>
              </w:rPr>
              <w:t>$0.96/km</w:t>
            </w:r>
          </w:p>
        </w:tc>
      </w:tr>
      <w:tr>
        <w:trPr>
          <w:cantSplit/>
        </w:trPr>
        <w:tc>
          <w:tcPr>
            <w:tcW w:type="dxa" w:w="5354"/>
          </w:tcPr>
          <w:p>
            <w:pPr>
              <w:spacing w:after="20"/>
            </w:pPr>
            <w:r/>
            <w:r>
              <w:rPr>
                <w:sz w:val="17"/>
              </w:rPr>
              <w:t>Partner services</w:t>
            </w:r>
          </w:p>
        </w:tc>
        <w:tc>
          <w:tcPr>
            <w:tcW w:type="dxa" w:w="4283"/>
          </w:tcPr>
          <w:p>
            <w:pPr>
              <w:spacing w:after="20"/>
            </w:pPr>
            <w:r/>
            <w:r>
              <w:rPr>
                <w:sz w:val="17"/>
              </w:rPr>
              <w:t>At partner's quoted rates plus 10%</w:t>
            </w:r>
          </w:p>
        </w:tc>
      </w:tr>
    </w:tbl>
    <w:p>
      <w:pPr>
        <w:spacing w:after="40"/>
      </w:pPr>
    </w:p>
    <w:p>
      <w:r>
        <w:rPr>
          <w:i w:val="0"/>
        </w:rPr>
        <w:t>Partner rates for directed additional work, including JCE's 10% mark-up: field crew day, road survey and rating per km, footpath capture and rating per km, additional asset per asset, and valuer per hour. [TBC - Jayden: insert from partner quotes due 21/10/2026.]</w:t>
      </w:r>
    </w:p>
    <w:p>
      <w:pPr>
        <w:pStyle w:val="Heading1"/>
        <w:pBdr>
          <w:bottom w:val="single" w:sz="6" w:space="1" w:color="C9A227"/>
        </w:pBdr>
      </w:pPr>
      <w:r>
        <w:t>Attachment B   Key personnel</w:t>
      </w:r>
    </w:p>
    <w:p>
      <w:pPr>
        <w:pStyle w:val="Heading2"/>
      </w:pPr>
      <w:r>
        <w:t>Jayden Callen, BEng (Hons), MIEAust</w:t>
      </w:r>
    </w:p>
    <w:p>
      <w:r>
        <w:rPr>
          <w:i w:val="0"/>
        </w:rPr>
        <w:t>Director and Principal Engineer, JCE Infrastructure. Project manager and single point of contact. Bachelor of Engineering (Honours) Civil, Deakin University; Member, Engineers Australia (11036201); National Engineering Register (civil) application in progress.</w:t>
      </w:r>
    </w:p>
    <w:p>
      <w:pPr>
        <w:pStyle w:val="ListBullet"/>
        <w:spacing w:after="40"/>
      </w:pPr>
      <w:r>
        <w:rPr>
          <w:b/>
        </w:rPr>
        <w:t xml:space="preserve">Design management. </w:t>
      </w:r>
      <w:r>
        <w:t xml:space="preserve">Civil Design Manager and Senior Engineer, Langtree Consulting, Townsville (03/2025 to 05/2026): managed four civil designers, delivered concurrent subdivisions, coordinated flood modelling, electrical and hydraulic subconsultants into joint-discipline packages, prepared engineer's estimates and bills of quantities, chaired client and stakeholder meetings.</w:t>
      </w:r>
    </w:p>
    <w:p>
      <w:pPr>
        <w:pStyle w:val="ListBullet"/>
        <w:spacing w:after="40"/>
      </w:pPr>
      <w:r>
        <w:rPr>
          <w:b/>
        </w:rPr>
        <w:t xml:space="preserve">Defence infrastructure and quality. </w:t>
      </w:r>
      <w:r>
        <w:t>SCP Consulting (06/2023 to 03/2025): civil engineer, site engineer on secondment to CPB Contractors, then senior engineer and design manager; site inspections, supervision and quality assurance on Defence projects at HMAS Watson, RAAF Base Tindal, RAAF Base Townsville and HMAS Cairns, and assessment of subcontractor variation claims.</w:t>
      </w:r>
    </w:p>
    <w:p>
      <w:pPr>
        <w:pStyle w:val="ListBullet"/>
        <w:spacing w:after="40"/>
      </w:pPr>
      <w:r>
        <w:rPr>
          <w:b/>
        </w:rPr>
        <w:t xml:space="preserve">Defence delivery. </w:t>
      </w:r>
      <w:r>
        <w:t xml:space="preserve">RAAF Base Townsville, Defence delivery project: engineering delivery for CPB Contractors (head contractor). Referee: Maverick Parker, CPB Contractors (contact details available on request).</w:t>
      </w:r>
    </w:p>
    <w:p>
      <w:pPr>
        <w:pStyle w:val="ListBullet"/>
        <w:spacing w:after="40"/>
      </w:pPr>
      <w:r>
        <w:rPr>
          <w:b/>
        </w:rPr>
        <w:t xml:space="preserve">Council projects (while at Langtree Consulting). </w:t>
      </w:r>
      <w:r>
        <w:t xml:space="preserve">Floodway rectification, Tablelands Regional Council (QLD): engineering for the rectification of a floodway on Council's road network. Ravenshoe leachate storage facility design modification, Tablelands Regional Council (QLD), 2025 (Jayden Callen while at Langtree Consulting). Referee: Darren Quilliam, Tablelands Regional Council.</w:t>
      </w:r>
    </w:p>
    <w:p>
      <w:pPr>
        <w:pStyle w:val="ListBullet"/>
        <w:spacing w:after="40"/>
      </w:pPr>
      <w:r>
        <w:rPr>
          <w:b/>
        </w:rPr>
        <w:t xml:space="preserve">Roads and pavements. </w:t>
      </w:r>
      <w:r>
        <w:t>Road geometry to the Austroads guides with Transport for NSW supplements, and pavement design with CIRCLY.</w:t>
      </w:r>
    </w:p>
    <w:p>
      <w:pPr>
        <w:pStyle w:val="ListBullet"/>
        <w:spacing w:after="40"/>
      </w:pPr>
      <w:r>
        <w:rPr>
          <w:b/>
        </w:rPr>
        <w:t xml:space="preserve">Drone photogrammetry. </w:t>
      </w:r>
      <w:r>
        <w:t>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w:t>
      </w:r>
    </w:p>
    <w:p>
      <w:pPr>
        <w:pStyle w:val="ListBullet"/>
        <w:spacing w:after="40"/>
      </w:pPr>
      <w:r>
        <w:rPr>
          <w:b/>
        </w:rPr>
        <w:t xml:space="preserve">Costs and data. </w:t>
      </w:r>
      <w:r>
        <w:t>Engineer's estimates, bills of quantities and variation pricing, which underpin replacement cost unit rates; Civil 3D, Navisworks and InfraWorks, CAD standards and automation (AutoLISP, Excel VBA).</w:t>
      </w:r>
    </w:p>
    <w:p>
      <w:pPr>
        <w:pStyle w:val="Heading2"/>
      </w:pPr>
      <w:r>
        <w:t>Partner key personnel</w:t>
      </w:r>
    </w:p>
    <w:p>
      <w:r>
        <w:rPr>
          <w:i w:val="0"/>
        </w:rPr>
        <w:t>[TBC - Jayden: names, qualifications, years of experience and comparable council projects for the field data capture lead and the signing valuer, from the partner quotes.]</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JCE Infrastructure  |  FP-017 (VP527819)  |  Inner West Council RFT 47-26  |  Rev G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