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8"/>
        </w:rPr>
        <w:t>Civil and Hydraulic Engineering</w:t>
      </w:r>
    </w:p>
    <w:p>
      <w:pPr>
        <w:pBdr>
          <w:bottom w:val="single" w:sz="12" w:space="1" w:color="C9A227"/>
        </w:pBdr>
        <w:spacing w:after="200"/>
      </w:pPr>
      <w:r>
        <w:rPr>
          <w:color w:val="555555"/>
          <w:sz w:val="17"/>
        </w:rPr>
        <w:t>ABN 29 699 165 663   |   0477 207 027   |   jayden@jceinfrastructure.com.au   |   jceinfrastructure.com.au</w:t>
      </w:r>
    </w:p>
    <w:p>
      <w:pPr>
        <w:spacing w:after="40"/>
      </w:pPr>
      <w:r>
        <w:rPr>
          <w:b/>
          <w:color w:val="C9A227"/>
          <w:sz w:val="30"/>
        </w:rPr>
        <w:t>REQUEST FOR QUOTATION</w:t>
      </w:r>
    </w:p>
    <w:p>
      <w:pPr>
        <w:spacing w:after="160"/>
      </w:pPr>
      <w:r>
        <w:rPr>
          <w:b/>
          <w:sz w:val="21"/>
        </w:rPr>
        <w:t>Street Lighting Concept Design</w:t>
      </w:r>
    </w:p>
    <w:tbl>
      <w:tblPr>
        <w:tblStyle w:val="TableGrid"/>
        <w:tblW w:type="auto" w:w="0"/>
        <w:tblLook w:firstColumn="1" w:firstRow="1" w:lastColumn="0" w:lastRow="0" w:noHBand="0" w:noVBand="1" w:val="04A0"/>
      </w:tblPr>
      <w:tblGrid>
        <w:gridCol w:w="4819"/>
        <w:gridCol w:w="4819"/>
      </w:tblGrid>
      <w:tr>
        <w:trPr>
          <w:cantSplit/>
        </w:trPr>
        <w:tc>
          <w:tcPr>
            <w:tcW w:type="dxa" w:w="2268"/>
            <w:shd w:val="clear" w:color="auto" w:fill="F3E9C6"/>
          </w:tcPr>
          <w:p>
            <w:r/>
            <w:r>
              <w:rPr>
                <w:b/>
                <w:sz w:val="18"/>
              </w:rPr>
              <w:t>RFQ No</w:t>
            </w:r>
          </w:p>
        </w:tc>
        <w:tc>
          <w:tcPr>
            <w:tcW w:type="dxa" w:w="7370"/>
          </w:tcPr>
          <w:p>
            <w:r/>
            <w:r>
              <w:rPr>
                <w:b w:val="0"/>
                <w:i w:val="0"/>
                <w:sz w:val="18"/>
              </w:rPr>
              <w:t>JCE-RFQ-VP523438-LGHT</w:t>
            </w:r>
          </w:p>
        </w:tc>
      </w:tr>
      <w:tr>
        <w:trPr>
          <w:cantSplit/>
        </w:trPr>
        <w:tc>
          <w:tcPr>
            <w:tcW w:type="dxa" w:w="2268"/>
            <w:shd w:val="clear" w:color="auto" w:fill="F3E9C6"/>
          </w:tcPr>
          <w:p>
            <w:r/>
            <w:r>
              <w:rPr>
                <w:b/>
                <w:sz w:val="18"/>
              </w:rPr>
              <w:t>Date</w:t>
            </w:r>
          </w:p>
        </w:tc>
        <w:tc>
          <w:tcPr>
            <w:tcW w:type="dxa" w:w="7370"/>
          </w:tcPr>
          <w:p>
            <w:r/>
            <w:r>
              <w:rPr>
                <w:b w:val="0"/>
                <w:i w:val="0"/>
                <w:sz w:val="18"/>
              </w:rPr>
              <w:t>Monday 12/10/2026</w:t>
            </w:r>
          </w:p>
        </w:tc>
      </w:tr>
      <w:tr>
        <w:trPr>
          <w:cantSplit/>
        </w:trPr>
        <w:tc>
          <w:tcPr>
            <w:tcW w:type="dxa" w:w="2268"/>
            <w:shd w:val="clear" w:color="auto" w:fill="F3E9C6"/>
          </w:tcPr>
          <w:p>
            <w:r/>
            <w:r>
              <w:rPr>
                <w:b/>
                <w:sz w:val="18"/>
              </w:rPr>
              <w:t>Project</w:t>
            </w:r>
          </w:p>
        </w:tc>
        <w:tc>
          <w:tcPr>
            <w:tcW w:type="dxa" w:w="7370"/>
          </w:tcPr>
          <w:p>
            <w:r/>
            <w:r>
              <w:rPr>
                <w:b w:val="0"/>
                <w:i w:val="0"/>
                <w:sz w:val="18"/>
              </w:rPr>
              <w:t>Concept Design for Hawthorn Road, Mount Barker SA (Mount Barker District Council RFT 2026.013, VendorPanel VP523438)</w:t>
            </w:r>
          </w:p>
        </w:tc>
      </w:tr>
      <w:tr>
        <w:trPr>
          <w:cantSplit/>
        </w:trPr>
        <w:tc>
          <w:tcPr>
            <w:tcW w:type="dxa" w:w="2268"/>
            <w:shd w:val="clear" w:color="auto" w:fill="F3E9C6"/>
          </w:tcPr>
          <w:p>
            <w:r/>
            <w:r>
              <w:rPr>
                <w:b/>
                <w:sz w:val="18"/>
              </w:rPr>
              <w:t>Services</w:t>
            </w:r>
          </w:p>
        </w:tc>
        <w:tc>
          <w:tcPr>
            <w:tcW w:type="dxa" w:w="7370"/>
          </w:tcPr>
          <w:p>
            <w:r/>
            <w:r>
              <w:rPr>
                <w:b w:val="0"/>
                <w:i w:val="0"/>
                <w:sz w:val="18"/>
              </w:rPr>
              <w:t>Street Lighting Concept Design</w:t>
            </w:r>
          </w:p>
        </w:tc>
      </w:tr>
      <w:tr>
        <w:trPr>
          <w:cantSplit/>
        </w:trPr>
        <w:tc>
          <w:tcPr>
            <w:tcW w:type="dxa" w:w="2268"/>
            <w:shd w:val="clear" w:color="auto" w:fill="F3E9C6"/>
          </w:tcPr>
          <w:p>
            <w:r/>
            <w:r>
              <w:rPr>
                <w:b/>
                <w:sz w:val="18"/>
              </w:rPr>
              <w:t>Issued by</w:t>
            </w:r>
          </w:p>
        </w:tc>
        <w:tc>
          <w:tcPr>
            <w:tcW w:type="dxa" w:w="7370"/>
          </w:tcPr>
          <w:p>
            <w:r/>
            <w:r>
              <w:rPr>
                <w:b w:val="0"/>
                <w:i w:val="0"/>
                <w:sz w:val="18"/>
              </w:rPr>
              <w:t>Jayden Callen, Director, JCE Infrastructure Pty Ltd. 0477 207 027, jayden@jceinfrastructure.com.au</w:t>
            </w:r>
          </w:p>
        </w:tc>
      </w:tr>
      <w:tr>
        <w:trPr>
          <w:cantSplit/>
        </w:trPr>
        <w:tc>
          <w:tcPr>
            <w:tcW w:type="dxa" w:w="2268"/>
            <w:shd w:val="clear" w:color="auto" w:fill="F3E9C6"/>
          </w:tcPr>
          <w:p>
            <w:r/>
            <w:r>
              <w:rPr>
                <w:b/>
                <w:sz w:val="18"/>
              </w:rPr>
              <w:t>Quotation due</w:t>
            </w:r>
          </w:p>
        </w:tc>
        <w:tc>
          <w:tcPr>
            <w:tcW w:type="dxa" w:w="7370"/>
          </w:tcPr>
          <w:p>
            <w:r/>
            <w:r>
              <w:rPr>
                <w:b w:val="0"/>
                <w:i w:val="0"/>
                <w:sz w:val="18"/>
              </w:rPr>
              <w:t>12:00 pm (Adelaide time, ACDT) Friday 23/10/2026, by email to jayden@jceinfrastructure.com.au</w:t>
            </w:r>
          </w:p>
        </w:tc>
      </w:tr>
      <w:tr>
        <w:trPr>
          <w:cantSplit/>
        </w:trPr>
        <w:tc>
          <w:tcPr>
            <w:tcW w:type="dxa" w:w="2268"/>
            <w:shd w:val="clear" w:color="auto" w:fill="F3E9C6"/>
          </w:tcPr>
          <w:p>
            <w:r/>
            <w:r>
              <w:rPr>
                <w:b/>
                <w:sz w:val="18"/>
              </w:rPr>
              <w:t>Validity</w:t>
            </w:r>
          </w:p>
        </w:tc>
        <w:tc>
          <w:tcPr>
            <w:tcW w:type="dxa" w:w="7370"/>
          </w:tcPr>
          <w:p>
            <w:r/>
            <w:r>
              <w:rPr>
                <w:b w:val="0"/>
                <w:i w:val="0"/>
                <w:sz w:val="18"/>
              </w:rPr>
              <w:t>90 days from the due date</w:t>
            </w:r>
          </w:p>
        </w:tc>
      </w:tr>
    </w:tbl>
    <w:p>
      <w:pPr>
        <w:spacing w:after="40"/>
      </w:pPr>
    </w:p>
    <w:p>
      <w:pPr>
        <w:pStyle w:val="Heading1"/>
      </w:pPr>
      <w:r>
        <w:t>1.0   Project and tender background</w:t>
      </w:r>
    </w:p>
    <w:p>
      <w:r>
        <w:rPr>
          <w:b w:val="0"/>
          <w:i w:val="0"/>
        </w:rPr>
        <w:t>Mount Barker District Council (Council) has invited tenders (RFT 2026.013, VendorPanel VP523438) for a 30% concept design and cost estimate for the upgrade of Hawthorn Road, Mount Barker SA, from the Adelaide Road intersection (a DIT asset that DIT is designing an upgrade for) to Liebelt Summer Track. The corridor is about 3 km long in eight sections (Brief Figures 1 to 8) and the upgrade includes new shared paths and footpaths, on-road bicycle lanes, kerb and channel, CHR and CHL turn treatments, a possible roundabout east of the creek, stormwater and culvert upgrades, and new street lighting. Tenders close at 5:00 pm Adelaide time on Friday 30/10/2026.</w:t>
      </w:r>
    </w:p>
    <w:p>
      <w:r>
        <w:rPr>
          <w:b w:val="0"/>
          <w:i w:val="0"/>
        </w:rPr>
        <w:t>JCE Infrastructure Pty Ltd (JCE) is tendering as lead consultant and requests your quotation as a sub-consultant to JCE. Council's indicative program (Brief Table 1): award 20/11/2026; start-up meeting and site appraisal by 04/12/2026; 10% design briefing workshop 12/02/2027; preliminary 30% concept and workshop 09/04/2027; final concept 18/06/2027.</w:t>
      </w:r>
    </w:p>
    <w:p>
      <w:pPr>
        <w:pStyle w:val="Heading1"/>
      </w:pPr>
      <w:r>
        <w:t>2.0   Scope of services</w:t>
      </w:r>
    </w:p>
    <w:p>
      <w:pPr>
        <w:keepNext/>
      </w:pPr>
      <w:r>
        <w:rPr>
          <w:b w:val="0"/>
          <w:i w:val="0"/>
        </w:rPr>
        <w:t>Please quote for the following, to the latest editions of the Australian Standards, Austroads guides, DIT standards and Council requirements listed in Brief section 3:</w:t>
      </w:r>
    </w:p>
    <w:p>
      <w:pPr>
        <w:pStyle w:val="ListBullet"/>
      </w:pPr>
      <w:r>
        <w:rPr>
          <w:b w:val="0"/>
          <w:i w:val="0"/>
        </w:rPr>
        <w:t>Lighting assessment for Hawthorn Road, which is currently unlit (Brief 3.8): confirm the lighting categories (Brief section 4: V5 from Canberra Street to the 147 Hawthorn Road link road; PR5 from the link road to Liebelt Summer Track) and the lighting of intersections, the roundabout, CHR treatments and the shared path trail crossing, to AS/NZS 1158.</w:t>
      </w:r>
    </w:p>
    <w:p>
      <w:pPr>
        <w:pStyle w:val="ListBullet"/>
      </w:pPr>
      <w:r>
        <w:rPr>
          <w:b w:val="0"/>
          <w:i w:val="0"/>
        </w:rPr>
        <w:t>Concept lighting scheme: luminaire options (SA Power Networks PLC tariff and Council-owned), preliminary pole locations and outreach, and lighting calculations (AGi32 or similar) for typical sections and intersections. Use the stobie poles where feasible.</w:t>
      </w:r>
    </w:p>
    <w:p>
      <w:pPr>
        <w:pStyle w:val="ListBullet"/>
      </w:pPr>
      <w:r>
        <w:rPr>
          <w:b w:val="0"/>
          <w:i w:val="0"/>
        </w:rPr>
        <w:t>Electrical infrastructure requirements: supply points, cabling and pits, SAPN requirements and asset ownership options.</w:t>
      </w:r>
    </w:p>
    <w:p>
      <w:pPr>
        <w:pStyle w:val="ListBullet"/>
      </w:pPr>
      <w:r>
        <w:rPr>
          <w:b w:val="0"/>
          <w:i w:val="0"/>
        </w:rPr>
        <w:t>Quantities and rates for the concept cost estimate, and lighting inputs to the Safety in Design report.</w:t>
      </w:r>
    </w:p>
    <w:p>
      <w:pPr>
        <w:pStyle w:val="ListBullet"/>
      </w:pPr>
      <w:r>
        <w:rPr>
          <w:b w:val="0"/>
          <w:i w:val="0"/>
        </w:rPr>
        <w:t>Responses to Council's comments on the preliminary 30% concept.</w:t>
      </w:r>
    </w:p>
    <w:p>
      <w:pPr>
        <w:pStyle w:val="Heading1"/>
      </w:pPr>
      <w:r>
        <w:t>3.0   Deliverables and timing</w:t>
      </w:r>
    </w:p>
    <w:p>
      <w:pPr>
        <w:pStyle w:val="ListBullet"/>
      </w:pPr>
      <w:r>
        <w:rPr>
          <w:b w:val="0"/>
          <w:i w:val="0"/>
        </w:rPr>
        <w:t>Lighting concept report with calculations and a compliance summary</w:t>
      </w:r>
    </w:p>
    <w:p>
      <w:pPr>
        <w:pStyle w:val="ListBullet"/>
      </w:pPr>
      <w:r>
        <w:rPr>
          <w:b w:val="0"/>
          <w:i w:val="0"/>
        </w:rPr>
        <w:t>Concept lighting layout plans (DWG and PDF) for the preliminary 30% (by late March 2027) and final concept (by late May 2027)</w:t>
      </w:r>
    </w:p>
    <w:p>
      <w:pPr>
        <w:pStyle w:val="ListBullet"/>
      </w:pPr>
      <w:r>
        <w:rPr>
          <w:b w:val="0"/>
          <w:i w:val="0"/>
        </w:rPr>
        <w:t>Cost estimate inputs</w:t>
      </w:r>
    </w:p>
    <w:p>
      <w:pPr>
        <w:pStyle w:val="Heading1"/>
      </w:pPr>
      <w:r>
        <w:t>4.0   Program</w:t>
      </w:r>
    </w:p>
    <w:p>
      <w:pPr>
        <w:pStyle w:val="ListBullet"/>
      </w:pPr>
      <w:r>
        <w:rPr>
          <w:b w:val="0"/>
          <w:i w:val="0"/>
        </w:rPr>
        <w:t>Quotation due: 12:00 pm (Adelaide time, ACDT) Friday 23/10/2026.</w:t>
      </w:r>
    </w:p>
    <w:p>
      <w:pPr>
        <w:pStyle w:val="ListBullet"/>
      </w:pPr>
      <w:r>
        <w:rPr>
          <w:b w:val="0"/>
          <w:i w:val="0"/>
        </w:rPr>
        <w:t>Tender closes 30/10/2026; award expected 20/11/2026; start-up meeting and site appraisal by 04/12/2026.</w:t>
      </w:r>
    </w:p>
    <w:p>
      <w:pPr>
        <w:pStyle w:val="ListBullet"/>
      </w:pPr>
      <w:r>
        <w:rPr>
          <w:b w:val="0"/>
          <w:i w:val="0"/>
        </w:rPr>
        <w:t>Your work must support the 10% design briefing workshop (12/02/2027), the preliminary 30% concept (09/04/2027) and the final concept (18/06/2027). Please confirm your availability, including over the Christmas period.</w:t>
      </w:r>
    </w:p>
    <w:p>
      <w:pPr>
        <w:pStyle w:val="Heading1"/>
      </w:pPr>
      <w:r>
        <w:t>5.0   Information provided</w:t>
      </w:r>
    </w:p>
    <w:p>
      <w:pPr>
        <w:pStyle w:val="ListBullet"/>
      </w:pPr>
      <w:r>
        <w:rPr>
          <w:b w:val="0"/>
          <w:i w:val="0"/>
        </w:rPr>
        <w:t>Council Project Brief, RFT 2026.013 (attached): sections 3 to 7 and Figures 1 to 8 show the extent and the eight sections.</w:t>
      </w:r>
    </w:p>
    <w:p>
      <w:pPr>
        <w:pStyle w:val="ListBullet"/>
      </w:pPr>
      <w:r>
        <w:rPr>
          <w:b w:val="0"/>
          <w:i w:val="0"/>
        </w:rPr>
        <w:t>Council will provide its CWMS and stormwater layout plans, AADT data, the approved #73 Hawthorn Road CHR design and interface designs after award. JCE will pass these on.</w:t>
      </w:r>
    </w:p>
    <w:p>
      <w:pPr>
        <w:pStyle w:val="Heading1"/>
      </w:pPr>
      <w:r>
        <w:t>6.0   Insurance and requirements</w:t>
      </w:r>
    </w:p>
    <w:p>
      <w:pPr>
        <w:pStyle w:val="ListBullet"/>
      </w:pPr>
      <w:r>
        <w:rPr>
          <w:b/>
          <w:i w:val="0"/>
        </w:rPr>
        <w:t>Insurance (Council's draft Services Agreement, Item 14, clause 10 and Annexure D).</w:t>
      </w:r>
      <w:r>
        <w:rPr>
          <w:b w:val="0"/>
          <w:i w:val="0"/>
        </w:rPr>
        <w:t xml:space="preserve"> Council requires the contractor to hold Public Liability insurance of $20 million any one occurrence and Professional Indemnity insurance of $2 million any one occurrence, with PI maintained for at least seven years after the Services. Clause 10.5 requires approved subcontractors to comply. Please state your PL and PI limits and attach certificates of currency. If you hold less than $20 million PL, say so; JCE will discuss it with you rather than exclude you.</w:t>
      </w:r>
    </w:p>
    <w:p>
      <w:pPr>
        <w:pStyle w:val="ListBullet"/>
      </w:pPr>
      <w:r>
        <w:rPr>
          <w:b/>
          <w:i w:val="0"/>
        </w:rPr>
        <w:t>Workers compensation.</w:t>
      </w:r>
      <w:r>
        <w:rPr>
          <w:b w:val="0"/>
          <w:i w:val="0"/>
        </w:rPr>
        <w:t xml:space="preserve"> Clause 20.15.3 requires sub-contractors to hold current Return to Work SA employer registration (or, where registration is not possible, accident and injury insurance under clause 20.15.6). Please attach evidence.</w:t>
      </w:r>
    </w:p>
    <w:p>
      <w:pPr>
        <w:pStyle w:val="ListBullet"/>
      </w:pPr>
      <w:r>
        <w:rPr>
          <w:b/>
          <w:i w:val="0"/>
        </w:rPr>
        <w:t>WHS.</w:t>
      </w:r>
      <w:r>
        <w:rPr>
          <w:b w:val="0"/>
          <w:i w:val="0"/>
        </w:rPr>
        <w:t xml:space="preserve"> Compliance with the Work Health and Safety Act 2012 (SA); a site-specific SWMS and, for any work on the road, traffic management to DIT and Council requirements. Field staff to complete any Council induction.</w:t>
      </w:r>
    </w:p>
    <w:p>
      <w:pPr>
        <w:pStyle w:val="ListBullet"/>
      </w:pPr>
      <w:r>
        <w:rPr>
          <w:b/>
          <w:i w:val="0"/>
        </w:rPr>
        <w:t>Independence and conflict of interest.</w:t>
      </w:r>
      <w:r>
        <w:rPr>
          <w:b w:val="0"/>
          <w:i w:val="0"/>
        </w:rPr>
        <w:t xml:space="preserve"> Please declare any relationship with the developers of land on Hawthorn Road (#16, #73, #78, #147, #160, #239), with DIT's Adelaide Road intersection designers, or with any other party you know to be tendering for RFT 2026.013. If you are quoting to other tenderers, please say so; it does not exclude you, but JCE needs to know.</w:t>
      </w:r>
    </w:p>
    <w:p>
      <w:pPr>
        <w:pStyle w:val="ListBullet"/>
      </w:pPr>
      <w:r>
        <w:rPr>
          <w:b/>
          <w:i w:val="0"/>
        </w:rPr>
        <w:t>Naming in JCE's tender.</w:t>
      </w:r>
      <w:r>
        <w:rPr>
          <w:b w:val="0"/>
          <w:i w:val="0"/>
        </w:rPr>
        <w:t xml:space="preserve"> Council's Brief 9(d) asks for a schedule of sub-consultants, and clause 19 of the Agreement needs Council's consent to subcontract. Please confirm JCE may name your firm, and provide a short CV of the person who will lead the work and two relevant projects (client, year, scope).</w:t>
      </w:r>
    </w:p>
    <w:p>
      <w:pPr>
        <w:pStyle w:val="ListBullet"/>
      </w:pPr>
      <w:r>
        <w:rPr>
          <w:b/>
          <w:i w:val="0"/>
        </w:rPr>
        <w:t>ICAC.</w:t>
      </w:r>
      <w:r>
        <w:rPr>
          <w:b w:val="0"/>
          <w:i w:val="0"/>
        </w:rPr>
        <w:t xml:space="preserve"> Contractors on this Council contract are public officers under the Independent Commissioner Against Corruption Act 2012 (SA) (Brief 13; clause 20.16). Sub-consultants should expect the same obligations.</w:t>
      </w:r>
    </w:p>
    <w:p>
      <w:pPr>
        <w:pStyle w:val="ListBullet"/>
      </w:pPr>
      <w:r>
        <w:rPr>
          <w:b/>
          <w:i w:val="0"/>
        </w:rPr>
        <w:t>Intellectual property.</w:t>
      </w:r>
      <w:r>
        <w:rPr>
          <w:b w:val="0"/>
          <w:i w:val="0"/>
        </w:rPr>
        <w:t xml:space="preserve"> Clause 11 assigns copyright in the Deliverables to Council. Your deliverables will be passed to Council on that basis.</w:t>
      </w:r>
    </w:p>
    <w:p>
      <w:pPr>
        <w:pStyle w:val="Heading1"/>
      </w:pPr>
      <w:r>
        <w:t>7.0   Pricing schedule</w:t>
      </w:r>
    </w:p>
    <w:p>
      <w:pPr>
        <w:keepNext/>
      </w:pPr>
      <w:r>
        <w:rPr>
          <w:b w:val="0"/>
          <w:i w:val="0"/>
        </w:rPr>
        <w:t>Please price each item excluding GST and state your assumptions and exclusions. Items marked optional are for JCE's budget estimate of the later design stages only and are not part of the quotation total.</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794"/>
            <w:shd w:val="clear" w:color="auto" w:fill="1A1A1A"/>
          </w:tcPr>
          <w:p>
            <w:pPr>
              <w:keepNext/>
            </w:pPr>
            <w:r/>
            <w:r>
              <w:rPr>
                <w:b/>
                <w:color w:val="FFFFFF"/>
                <w:sz w:val="18"/>
              </w:rPr>
              <w:t>Item</w:t>
            </w:r>
          </w:p>
        </w:tc>
        <w:tc>
          <w:tcPr>
            <w:tcW w:type="dxa" w:w="6576"/>
            <w:shd w:val="clear" w:color="auto" w:fill="1A1A1A"/>
          </w:tcPr>
          <w:p>
            <w:pPr>
              <w:keepNext/>
            </w:pPr>
            <w:r/>
            <w:r>
              <w:rPr>
                <w:b/>
                <w:color w:val="FFFFFF"/>
                <w:sz w:val="18"/>
              </w:rPr>
              <w:t>Description</w:t>
            </w:r>
          </w:p>
        </w:tc>
        <w:tc>
          <w:tcPr>
            <w:tcW w:type="dxa" w:w="2268"/>
            <w:shd w:val="clear" w:color="auto" w:fill="1A1A1A"/>
          </w:tcPr>
          <w:p>
            <w:pPr>
              <w:keepNext/>
            </w:pPr>
            <w:r/>
            <w:r>
              <w:rPr>
                <w:b/>
                <w:color w:val="FFFFFF"/>
                <w:sz w:val="18"/>
              </w:rPr>
              <w:t>Price (excl. GST)</w:t>
            </w:r>
          </w:p>
        </w:tc>
      </w:tr>
      <w:tr>
        <w:trPr>
          <w:cantSplit/>
        </w:trPr>
        <w:tc>
          <w:tcPr>
            <w:tcW w:type="dxa" w:w="794"/>
          </w:tcPr>
          <w:p>
            <w:pPr>
              <w:keepNext/>
              <w:spacing w:after="20"/>
            </w:pPr>
            <w:r/>
            <w:r>
              <w:rPr>
                <w:b w:val="0"/>
                <w:i w:val="0"/>
                <w:sz w:val="18"/>
              </w:rPr>
              <w:t>1</w:t>
            </w:r>
          </w:p>
        </w:tc>
        <w:tc>
          <w:tcPr>
            <w:tcW w:type="dxa" w:w="6576"/>
          </w:tcPr>
          <w:p>
            <w:pPr>
              <w:keepNext/>
              <w:spacing w:after="20"/>
            </w:pPr>
            <w:r/>
            <w:r>
              <w:rPr>
                <w:b w:val="0"/>
                <w:i w:val="0"/>
                <w:sz w:val="18"/>
              </w:rPr>
              <w:t>Lighting assessment and concept scheme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2</w:t>
            </w:r>
          </w:p>
        </w:tc>
        <w:tc>
          <w:tcPr>
            <w:tcW w:type="dxa" w:w="6576"/>
          </w:tcPr>
          <w:p>
            <w:pPr>
              <w:keepNext/>
              <w:spacing w:after="20"/>
            </w:pPr>
            <w:r/>
            <w:r>
              <w:rPr>
                <w:b w:val="0"/>
                <w:i w:val="0"/>
                <w:sz w:val="18"/>
              </w:rPr>
              <w:t>Calculations and concept layout plans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3</w:t>
            </w:r>
          </w:p>
        </w:tc>
        <w:tc>
          <w:tcPr>
            <w:tcW w:type="dxa" w:w="6576"/>
          </w:tcPr>
          <w:p>
            <w:pPr>
              <w:keepNext/>
              <w:spacing w:after="20"/>
            </w:pPr>
            <w:r/>
            <w:r>
              <w:rPr>
                <w:b w:val="0"/>
                <w:i w:val="0"/>
                <w:sz w:val="18"/>
              </w:rPr>
              <w:t>Revisions after Council's comments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4</w:t>
            </w:r>
          </w:p>
        </w:tc>
        <w:tc>
          <w:tcPr>
            <w:tcW w:type="dxa" w:w="6576"/>
          </w:tcPr>
          <w:p>
            <w:pPr>
              <w:keepNext/>
              <w:spacing w:after="20"/>
            </w:pPr>
            <w:r/>
            <w:r>
              <w:rPr>
                <w:b w:val="0"/>
                <w:i w:val="0"/>
                <w:sz w:val="18"/>
              </w:rPr>
              <w:t>Optional, for budgeting only: detailed lighting design and IFC documentation in the detailed design stage (indicative)</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5</w:t>
            </w:r>
          </w:p>
        </w:tc>
        <w:tc>
          <w:tcPr>
            <w:tcW w:type="dxa" w:w="6576"/>
          </w:tcPr>
          <w:p>
            <w:pPr>
              <w:keepNext/>
              <w:spacing w:after="20"/>
            </w:pPr>
            <w:r/>
            <w:r>
              <w:rPr>
                <w:b w:val="0"/>
                <w:i w:val="0"/>
                <w:sz w:val="18"/>
              </w:rPr>
              <w:t>Hourly rates</w:t>
            </w:r>
          </w:p>
        </w:tc>
        <w:tc>
          <w:tcPr>
            <w:tcW w:type="dxa" w:w="2268"/>
          </w:tcPr>
          <w:p>
            <w:pPr>
              <w:keepNext/>
              <w:spacing w:after="20"/>
              <w:jc w:val="right"/>
            </w:pPr>
            <w:r/>
            <w:r>
              <w:rPr>
                <w:b w:val="0"/>
                <w:i w:val="0"/>
                <w:sz w:val="18"/>
              </w:rPr>
              <w:t>$</w:t>
            </w:r>
          </w:p>
        </w:tc>
      </w:tr>
      <w:tr>
        <w:trPr>
          <w:cantSplit/>
        </w:trPr>
        <w:tc>
          <w:tcPr>
            <w:tcW w:type="dxa" w:w="794"/>
            <w:shd w:val="clear" w:color="auto" w:fill="F3E9C6"/>
          </w:tcPr>
          <w:p>
            <w:pPr>
              <w:spacing w:after="20"/>
            </w:pPr>
            <w:r/>
          </w:p>
        </w:tc>
        <w:tc>
          <w:tcPr>
            <w:tcW w:type="dxa" w:w="6576"/>
            <w:shd w:val="clear" w:color="auto" w:fill="F3E9C6"/>
          </w:tcPr>
          <w:p>
            <w:pPr>
              <w:spacing w:after="20"/>
            </w:pPr>
            <w:r/>
            <w:r>
              <w:rPr>
                <w:b/>
                <w:i w:val="0"/>
                <w:sz w:val="18"/>
              </w:rPr>
              <w:t>Total for the 30% concept stage (excl. GST, excluding optional items)</w:t>
            </w:r>
          </w:p>
        </w:tc>
        <w:tc>
          <w:tcPr>
            <w:tcW w:type="dxa" w:w="2268"/>
            <w:shd w:val="clear" w:color="auto" w:fill="F3E9C6"/>
          </w:tcPr>
          <w:p>
            <w:pPr>
              <w:spacing w:after="20"/>
              <w:jc w:val="right"/>
            </w:pPr>
            <w:r/>
            <w:r>
              <w:rPr>
                <w:b/>
                <w:i w:val="0"/>
                <w:sz w:val="18"/>
              </w:rPr>
              <w:t>$</w:t>
            </w:r>
          </w:p>
        </w:tc>
      </w:tr>
    </w:tbl>
    <w:p>
      <w:pPr>
        <w:spacing w:after="40"/>
      </w:pPr>
    </w:p>
    <w:p>
      <w:r>
        <w:rPr>
          <w:b w:val="0"/>
          <w:i w:val="0"/>
        </w:rPr>
        <w:t>With the schedule, please state: exclusions; assumptions on quantities, access and working hours; payment terms; key person and CV; insurance certificates; and confirmation that the quotation is valid for 90 days.</w:t>
      </w:r>
    </w:p>
    <w:p>
      <w:pPr>
        <w:pStyle w:val="Heading1"/>
      </w:pPr>
      <w:r>
        <w:t>8.0   Confidentiality and conditions</w:t>
      </w:r>
    </w:p>
    <w:p>
      <w:pPr>
        <w:pStyle w:val="ListBullet"/>
      </w:pPr>
      <w:r>
        <w:rPr>
          <w:b w:val="0"/>
          <w:i w:val="0"/>
        </w:rPr>
        <w:t>This request and Council's tender documents are confidential and are provided only so you can prepare your quotation. Please do not contact Council about this tender; send questions to JCE.</w:t>
      </w:r>
    </w:p>
    <w:p>
      <w:pPr>
        <w:pStyle w:val="ListBullet"/>
      </w:pPr>
      <w:r>
        <w:rPr>
          <w:b w:val="0"/>
          <w:i w:val="0"/>
        </w:rPr>
        <w:t>Any engagement depends on Council awarding the contract to JCE and consenting to JCE's sub-consultants (Agreement clause 19). The engagement will be on terms consistent with Council's Services Agreement. Requesting a quotation does not commit JCE to engage you.</w:t>
      </w:r>
    </w:p>
    <w:p>
      <w:pPr>
        <w:pStyle w:val="ListBullet"/>
      </w:pPr>
      <w:r>
        <w:rPr>
          <w:b w:val="0"/>
          <w:i w:val="0"/>
        </w:rPr>
        <w:t>Separable Portions 2 and 3 (detailed design to IFC) depend on Council's later written instruction (Agreement clause 2.5) and are not part of this request, apart from the optional indicative items.</w:t>
      </w:r>
    </w:p>
    <w:p>
      <w:pPr>
        <w:keepNext/>
      </w:pPr>
      <w:r>
        <w:rPr>
          <w:b w:val="0"/>
          <w:i w:val="0"/>
        </w:rPr>
        <w:t>Yours faithfully,</w:t>
      </w:r>
    </w:p>
    <w:p>
      <w:pPr>
        <w:keepNext/>
      </w:pPr>
      <w:r>
        <w:rPr>
          <w:b w:val="0"/>
          <w:i/>
        </w:rPr>
        <w:t>[signature]</w:t>
      </w:r>
    </w:p>
    <w:p>
      <w:pPr>
        <w:keepNext/>
        <w:spacing w:after="0"/>
      </w:pPr>
      <w:r>
        <w:rPr>
          <w:b/>
          <w:i w:val="0"/>
        </w:rPr>
        <w:t>Jayden Callen</w:t>
      </w:r>
    </w:p>
    <w:p>
      <w:pPr>
        <w:keepNext/>
        <w:spacing w:after="0"/>
      </w:pPr>
      <w:r>
        <w:rPr>
          <w:b w:val="0"/>
          <w:i w:val="0"/>
        </w:rPr>
        <w:t>Director, JCE Infrastructure Pty Ltd (ABN 29 699 165 663)</w:t>
      </w:r>
    </w:p>
    <w:p>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5"/>
      </w:rPr>
      <w:t xml:space="preserve">JCE-RFQ-VP523438-LGHT  |  Hawthorn Road concept design (MBDC RFT 2026.013)  |  12/10/2026   |   Page </w:t>
    </w:r>
    <w:r>
      <w:rPr>
        <w:color w:val="555555"/>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