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REQUEST FOR QUOTATION</w:t>
      </w:r>
    </w:p>
    <w:p>
      <w:pPr>
        <w:spacing w:after="160"/>
      </w:pPr>
      <w:r>
        <w:rPr>
          <w:b/>
          <w:sz w:val="21"/>
        </w:rPr>
        <w:t>Engineering Survey and Services Location</w:t>
      </w:r>
    </w:p>
    <w:tbl>
      <w:tblPr>
        <w:tblStyle w:val="TableGrid"/>
        <w:tblW w:type="auto" w:w="0"/>
        <w:tblLook w:firstColumn="1" w:firstRow="1" w:lastColumn="0" w:lastRow="0" w:noHBand="0" w:noVBand="1" w:val="04A0"/>
      </w:tblPr>
      <w:tblGrid>
        <w:gridCol w:w="4819"/>
        <w:gridCol w:w="4819"/>
      </w:tblGrid>
      <w:tr>
        <w:trPr>
          <w:cantSplit/>
        </w:trPr>
        <w:tc>
          <w:tcPr>
            <w:tcW w:type="dxa" w:w="2268"/>
            <w:shd w:val="clear" w:color="auto" w:fill="F3E9C6"/>
          </w:tcPr>
          <w:p>
            <w:r/>
            <w:r>
              <w:rPr>
                <w:b/>
                <w:sz w:val="18"/>
              </w:rPr>
              <w:t>RFQ No</w:t>
            </w:r>
          </w:p>
        </w:tc>
        <w:tc>
          <w:tcPr>
            <w:tcW w:type="dxa" w:w="7370"/>
          </w:tcPr>
          <w:p>
            <w:r/>
            <w:r>
              <w:rPr>
                <w:b w:val="0"/>
                <w:i w:val="0"/>
                <w:sz w:val="18"/>
              </w:rPr>
              <w:t>JCE-RFQ-VP523438-SURV</w:t>
            </w:r>
          </w:p>
        </w:tc>
      </w:tr>
      <w:tr>
        <w:trPr>
          <w:cantSplit/>
        </w:trPr>
        <w:tc>
          <w:tcPr>
            <w:tcW w:type="dxa" w:w="2268"/>
            <w:shd w:val="clear" w:color="auto" w:fill="F3E9C6"/>
          </w:tcPr>
          <w:p>
            <w:r/>
            <w:r>
              <w:rPr>
                <w:b/>
                <w:sz w:val="18"/>
              </w:rPr>
              <w:t>Date</w:t>
            </w:r>
          </w:p>
        </w:tc>
        <w:tc>
          <w:tcPr>
            <w:tcW w:type="dxa" w:w="7370"/>
          </w:tcPr>
          <w:p>
            <w:r/>
            <w:r>
              <w:rPr>
                <w:b w:val="0"/>
                <w:i w:val="0"/>
                <w:sz w:val="18"/>
              </w:rPr>
              <w:t>Monday 12/10/2026</w:t>
            </w:r>
          </w:p>
        </w:tc>
      </w:tr>
      <w:tr>
        <w:trPr>
          <w:cantSplit/>
        </w:trPr>
        <w:tc>
          <w:tcPr>
            <w:tcW w:type="dxa" w:w="2268"/>
            <w:shd w:val="clear" w:color="auto" w:fill="F3E9C6"/>
          </w:tcPr>
          <w:p>
            <w:r/>
            <w:r>
              <w:rPr>
                <w:b/>
                <w:sz w:val="18"/>
              </w:rPr>
              <w:t>Project</w:t>
            </w:r>
          </w:p>
        </w:tc>
        <w:tc>
          <w:tcPr>
            <w:tcW w:type="dxa" w:w="7370"/>
          </w:tcPr>
          <w:p>
            <w:r/>
            <w:r>
              <w:rPr>
                <w:b w:val="0"/>
                <w:i w:val="0"/>
                <w:sz w:val="18"/>
              </w:rPr>
              <w:t>Concept Design for Hawthorn Road, Mount Barker SA (Mount Barker District Council RFT 2026.013, VendorPanel VP523438)</w:t>
            </w:r>
          </w:p>
        </w:tc>
      </w:tr>
      <w:tr>
        <w:trPr>
          <w:cantSplit/>
        </w:trPr>
        <w:tc>
          <w:tcPr>
            <w:tcW w:type="dxa" w:w="2268"/>
            <w:shd w:val="clear" w:color="auto" w:fill="F3E9C6"/>
          </w:tcPr>
          <w:p>
            <w:r/>
            <w:r>
              <w:rPr>
                <w:b/>
                <w:sz w:val="18"/>
              </w:rPr>
              <w:t>Services</w:t>
            </w:r>
          </w:p>
        </w:tc>
        <w:tc>
          <w:tcPr>
            <w:tcW w:type="dxa" w:w="7370"/>
          </w:tcPr>
          <w:p>
            <w:r/>
            <w:r>
              <w:rPr>
                <w:b w:val="0"/>
                <w:i w:val="0"/>
                <w:sz w:val="18"/>
              </w:rPr>
              <w:t>Engineering Survey and Services Location</w:t>
            </w:r>
          </w:p>
        </w:tc>
      </w:tr>
      <w:tr>
        <w:trPr>
          <w:cantSplit/>
        </w:trPr>
        <w:tc>
          <w:tcPr>
            <w:tcW w:type="dxa" w:w="2268"/>
            <w:shd w:val="clear" w:color="auto" w:fill="F3E9C6"/>
          </w:tcPr>
          <w:p>
            <w:r/>
            <w:r>
              <w:rPr>
                <w:b/>
                <w:sz w:val="18"/>
              </w:rPr>
              <w:t>Issued by</w:t>
            </w:r>
          </w:p>
        </w:tc>
        <w:tc>
          <w:tcPr>
            <w:tcW w:type="dxa" w:w="7370"/>
          </w:tcPr>
          <w:p>
            <w:r/>
            <w:r>
              <w:rPr>
                <w:b w:val="0"/>
                <w:i w:val="0"/>
                <w:sz w:val="18"/>
              </w:rPr>
              <w:t>Jayden Callen, Director, JCE Infrastructure Pty Ltd. 0477 207 027, jayden@jceinfrastructure.com.au</w:t>
            </w:r>
          </w:p>
        </w:tc>
      </w:tr>
      <w:tr>
        <w:trPr>
          <w:cantSplit/>
        </w:trPr>
        <w:tc>
          <w:tcPr>
            <w:tcW w:type="dxa" w:w="2268"/>
            <w:shd w:val="clear" w:color="auto" w:fill="F3E9C6"/>
          </w:tcPr>
          <w:p>
            <w:r/>
            <w:r>
              <w:rPr>
                <w:b/>
                <w:sz w:val="18"/>
              </w:rPr>
              <w:t>Quotation due</w:t>
            </w:r>
          </w:p>
        </w:tc>
        <w:tc>
          <w:tcPr>
            <w:tcW w:type="dxa" w:w="7370"/>
          </w:tcPr>
          <w:p>
            <w:r/>
            <w:r>
              <w:rPr>
                <w:b w:val="0"/>
                <w:i w:val="0"/>
                <w:sz w:val="18"/>
              </w:rPr>
              <w:t>12:00 pm (Adelaide time, ACDT) Friday 23/10/2026, by email to jayden@jceinfrastructure.com.au</w:t>
            </w:r>
          </w:p>
        </w:tc>
      </w:tr>
      <w:tr>
        <w:trPr>
          <w:cantSplit/>
        </w:trPr>
        <w:tc>
          <w:tcPr>
            <w:tcW w:type="dxa" w:w="2268"/>
            <w:shd w:val="clear" w:color="auto" w:fill="F3E9C6"/>
          </w:tcPr>
          <w:p>
            <w:r/>
            <w:r>
              <w:rPr>
                <w:b/>
                <w:sz w:val="18"/>
              </w:rPr>
              <w:t>Validity</w:t>
            </w:r>
          </w:p>
        </w:tc>
        <w:tc>
          <w:tcPr>
            <w:tcW w:type="dxa" w:w="7370"/>
          </w:tcPr>
          <w:p>
            <w:r/>
            <w:r>
              <w:rPr>
                <w:b w:val="0"/>
                <w:i w:val="0"/>
                <w:sz w:val="18"/>
              </w:rPr>
              <w:t>90 days from the due date</w:t>
            </w:r>
          </w:p>
        </w:tc>
      </w:tr>
    </w:tbl>
    <w:p>
      <w:pPr>
        <w:spacing w:after="40"/>
      </w:pPr>
    </w:p>
    <w:p>
      <w:pPr>
        <w:pStyle w:val="Heading1"/>
      </w:pPr>
      <w:r>
        <w:t>1.0   Project and tender background</w:t>
      </w:r>
    </w:p>
    <w:p>
      <w:r>
        <w:rPr>
          <w:b w:val="0"/>
          <w:i w:val="0"/>
        </w:rPr>
        <w:t>Mount Barker District Council (Council) has invited tenders (RFT 2026.013, VendorPanel VP523438) for a 30% concept design and cost estimate for the upgrade of Hawthorn Road, Mount Barker SA, from the Adelaide Road intersection (a DIT asset that DIT is designing an upgrade for) to Liebelt Summer Track. The corridor is about 3 km long in eight sections (Brief Figures 1 to 8) and the upgrade includes new shared paths and footpaths, on-road bicycle lanes, kerb and channel, CHR and CHL turn treatments, a possible roundabout east of the creek, stormwater and culvert upgrades, and new street lighting. Tenders close at 5:00 pm Adelaide time on Friday 30/10/2026.</w:t>
      </w:r>
    </w:p>
    <w:p>
      <w:r>
        <w:rPr>
          <w:b w:val="0"/>
          <w:i w:val="0"/>
        </w:rPr>
        <w:t>JCE Infrastructure Pty Ltd (JCE) is tendering as lead consultant and requests your quotation as a sub-consultant to JCE. Council's indicative program (Brief Table 1): award 20/11/2026; start-up meeting and site appraisal by 04/12/2026; 10% design briefing workshop 12/02/2027; preliminary 30% concept and workshop 09/04/2027; final concept 18/06/2027.</w:t>
      </w:r>
    </w:p>
    <w:p>
      <w:pPr>
        <w:pStyle w:val="Heading1"/>
      </w:pPr>
      <w:r>
        <w:t>2.0   Scope of services</w:t>
      </w:r>
    </w:p>
    <w:p>
      <w:pPr>
        <w:keepNext/>
      </w:pPr>
      <w:r>
        <w:rPr>
          <w:b w:val="0"/>
          <w:i w:val="0"/>
        </w:rPr>
        <w:t>Please quote for the following, to the latest editions of the Australian Standards, Austroads guides, DIT standards and Council requirements listed in Brief section 3:</w:t>
      </w:r>
    </w:p>
    <w:p>
      <w:pPr>
        <w:pStyle w:val="ListBullet"/>
      </w:pPr>
      <w:r>
        <w:rPr>
          <w:b w:val="0"/>
          <w:i w:val="0"/>
        </w:rPr>
        <w:t>Survey control on GDA2020 MGA Zone 54 and AHD (Brief 3.3), with a control schedule.</w:t>
      </w:r>
    </w:p>
    <w:p>
      <w:pPr>
        <w:pStyle w:val="ListBullet"/>
      </w:pPr>
      <w:r>
        <w:rPr>
          <w:b w:val="0"/>
          <w:i w:val="0"/>
        </w:rPr>
        <w:t>Detail and level survey of the Hawthorn Road reserve, boundary to boundary plus 5 m into adjoining land where accessible, from the Adelaide Road intersection to Liebelt Summer Track (about 3 km), with side-road tie-ins of up to 50 m (Cherrington St, Hill St, Chapman Cres, Canberra St, Silverwood Dr, Bollen Rd, the 147 Hawthorn Rd link road and the Rainbird Dr roundabout area).</w:t>
      </w:r>
    </w:p>
    <w:p>
      <w:pPr>
        <w:pStyle w:val="ListBullet"/>
      </w:pPr>
      <w:r>
        <w:rPr>
          <w:b w:val="0"/>
          <w:i w:val="0"/>
        </w:rPr>
        <w:t>All features listed in Brief 3.3 i to viii: fences and property boundaries, pavement, kerb and gutter, edge of seal, shoulders, medians and islands, paths, kerb ramps and driveways, stormwater pits, headwalls, culverts (with sizes and inverts), inlets and outlets, utility pits, covers, lids and valves (service type identified), street lights, stobie and telecommunications poles, signs, guideposts, barriers, furniture, buildings, retaining walls and structures.</w:t>
      </w:r>
    </w:p>
    <w:p>
      <w:pPr>
        <w:pStyle w:val="ListBullet"/>
      </w:pPr>
      <w:r>
        <w:rPr>
          <w:b w:val="0"/>
          <w:i w:val="0"/>
        </w:rPr>
        <w:t>True property boundaries where available (Brief 3.3 i). Please state your method and price it separately: re-establishment from survey marks by an SA licensed surveyor along the corridor, or cadastre adjusted to fences with re-establishment limited to the land acquisition properties (#16, #46, #50, #52, #78 and #160).</w:t>
      </w:r>
    </w:p>
    <w:p>
      <w:pPr>
        <w:pStyle w:val="ListBullet"/>
      </w:pPr>
      <w:r>
        <w:rPr>
          <w:b w:val="0"/>
          <w:i w:val="0"/>
        </w:rPr>
        <w:t>Underground services location (Brief 3.2): BYDA search, electronic location and marking, and survey pick-up to Quality Level B (AS 5488) along the corridor. List any assets that cannot be located to QL-B.</w:t>
      </w:r>
    </w:p>
    <w:p>
      <w:pPr>
        <w:pStyle w:val="ListBullet"/>
      </w:pPr>
      <w:r>
        <w:rPr>
          <w:b w:val="0"/>
          <w:i w:val="0"/>
        </w:rPr>
        <w:t>3D tree survey model (Brief 3.3 vii): trunk location, trunk diameter, canopy extent and height for all trees within and overhanging the reserve, suitable for the arborist's Tree Assessment Report.</w:t>
      </w:r>
    </w:p>
    <w:p>
      <w:pPr>
        <w:pStyle w:val="ListBullet"/>
      </w:pPr>
      <w:r>
        <w:rPr>
          <w:b w:val="0"/>
          <w:i w:val="0"/>
        </w:rPr>
        <w:t>Spot levels, breaklines and contours (0.25 m interval) to define the existing surface, including the creek channels for 20 m upstream and downstream of each culvert.</w:t>
      </w:r>
    </w:p>
    <w:p>
      <w:pPr>
        <w:pStyle w:val="ListBullet"/>
      </w:pPr>
      <w:r>
        <w:rPr>
          <w:b w:val="0"/>
          <w:i w:val="0"/>
        </w:rPr>
        <w:t>Traffic management for the field work to DIT and Council requirements (price separately).</w:t>
      </w:r>
    </w:p>
    <w:p>
      <w:pPr>
        <w:pStyle w:val="Heading1"/>
      </w:pPr>
      <w:r>
        <w:t>3.0   Deliverables and timing</w:t>
      </w:r>
    </w:p>
    <w:p>
      <w:pPr>
        <w:pStyle w:val="ListBullet"/>
      </w:pPr>
      <w:r>
        <w:rPr>
          <w:b w:val="0"/>
          <w:i w:val="0"/>
        </w:rPr>
        <w:t>Engineering survey plans on A1 sheets and a composite survey plan with features, spot levels, contours and indicative underground services (PDF)</w:t>
      </w:r>
    </w:p>
    <w:p>
      <w:pPr>
        <w:pStyle w:val="ListBullet"/>
      </w:pPr>
      <w:r>
        <w:rPr>
          <w:b w:val="0"/>
          <w:i w:val="0"/>
        </w:rPr>
        <w:t>AutoCAD DWG with layering, colours and legend; DTM, strings and breaklines suitable for Civil 3D or 12d; point file</w:t>
      </w:r>
    </w:p>
    <w:p>
      <w:pPr>
        <w:pStyle w:val="ListBullet"/>
      </w:pPr>
      <w:r>
        <w:rPr>
          <w:b w:val="0"/>
          <w:i w:val="0"/>
        </w:rPr>
        <w:t>Survey report and metadata: datum, coordinate system, methodology, date of survey and the services quality level achieved</w:t>
      </w:r>
    </w:p>
    <w:p>
      <w:pPr>
        <w:pStyle w:val="ListBullet"/>
      </w:pPr>
      <w:r>
        <w:rPr>
          <w:b w:val="0"/>
          <w:i w:val="0"/>
        </w:rPr>
        <w:t>Field work from early December 2026 (please state availability over Christmas); data within four weeks of starting</w:t>
      </w:r>
    </w:p>
    <w:p>
      <w:pPr>
        <w:pStyle w:val="Heading1"/>
      </w:pPr>
      <w:r>
        <w:t>4.0   Program</w:t>
      </w:r>
    </w:p>
    <w:p>
      <w:pPr>
        <w:pStyle w:val="ListBullet"/>
      </w:pPr>
      <w:r>
        <w:rPr>
          <w:b w:val="0"/>
          <w:i w:val="0"/>
        </w:rPr>
        <w:t>Quotation due: 12:00 pm (Adelaide time, ACDT) Friday 23/10/2026.</w:t>
      </w:r>
    </w:p>
    <w:p>
      <w:pPr>
        <w:pStyle w:val="ListBullet"/>
      </w:pPr>
      <w:r>
        <w:rPr>
          <w:b w:val="0"/>
          <w:i w:val="0"/>
        </w:rPr>
        <w:t>Tender closes 30/10/2026; award expected 20/11/2026; start-up meeting and site appraisal by 04/12/2026.</w:t>
      </w:r>
    </w:p>
    <w:p>
      <w:pPr>
        <w:pStyle w:val="ListBullet"/>
      </w:pPr>
      <w:r>
        <w:rPr>
          <w:b w:val="0"/>
          <w:i w:val="0"/>
        </w:rPr>
        <w:t>Your work must support the 10% design briefing workshop (12/02/2027), the preliminary 30% concept (09/04/2027) and the final concept (18/06/2027). Please confirm your availability, including over the Christmas period.</w:t>
      </w:r>
    </w:p>
    <w:p>
      <w:pPr>
        <w:pStyle w:val="Heading1"/>
      </w:pPr>
      <w:r>
        <w:t>5.0   Information provided</w:t>
      </w:r>
    </w:p>
    <w:p>
      <w:pPr>
        <w:pStyle w:val="ListBullet"/>
      </w:pPr>
      <w:r>
        <w:rPr>
          <w:b w:val="0"/>
          <w:i w:val="0"/>
        </w:rPr>
        <w:t>Council Project Brief, RFT 2026.013 (attached): sections 3 to 7 and Figures 1 to 8 show the extent and the eight sections.</w:t>
      </w:r>
    </w:p>
    <w:p>
      <w:pPr>
        <w:pStyle w:val="ListBullet"/>
      </w:pPr>
      <w:r>
        <w:rPr>
          <w:b w:val="0"/>
          <w:i w:val="0"/>
        </w:rPr>
        <w:t>Council will provide its CWMS and stormwater layout plans, AADT data, the approved #73 Hawthorn Road CHR design and interface designs after award. JCE will pass these on.</w:t>
      </w:r>
    </w:p>
    <w:p>
      <w:pPr>
        <w:pStyle w:val="Heading1"/>
      </w:pPr>
      <w:r>
        <w:t>6.0   Insurance and requirements</w:t>
      </w:r>
    </w:p>
    <w:p>
      <w:pPr>
        <w:pStyle w:val="ListBullet"/>
      </w:pPr>
      <w:r>
        <w:rPr>
          <w:b/>
          <w:i w:val="0"/>
        </w:rPr>
        <w:t>Insurance (Council's draft Services Agreement, Item 14, clause 10 and Annexure D).</w:t>
      </w:r>
      <w:r>
        <w:rPr>
          <w:b w:val="0"/>
          <w:i w:val="0"/>
        </w:rPr>
        <w:t xml:space="preserve"> Council requires the contractor to hold Public Liability insurance of $20 million any one occurrence and Professional Indemnity insurance of $2 million any one occurrence, with PI maintained for at least seven years after the Services. Clause 10.5 requires approved subcontractors to comply. Please state your PL and PI limits and attach certificates of currency. If you hold less than $20 million PL, say so; JCE will discuss it with you rather than exclude you.</w:t>
      </w:r>
    </w:p>
    <w:p>
      <w:pPr>
        <w:pStyle w:val="ListBullet"/>
      </w:pPr>
      <w:r>
        <w:rPr>
          <w:b/>
          <w:i w:val="0"/>
        </w:rPr>
        <w:t>Workers compensation.</w:t>
      </w:r>
      <w:r>
        <w:rPr>
          <w:b w:val="0"/>
          <w:i w:val="0"/>
        </w:rPr>
        <w:t xml:space="preserve"> Clause 20.15.3 requires sub-contractors to hold current Return to Work SA employer registration (or, where registration is not possible, accident and injury insurance under clause 20.15.6). Please attach evidence.</w:t>
      </w:r>
    </w:p>
    <w:p>
      <w:pPr>
        <w:pStyle w:val="ListBullet"/>
      </w:pPr>
      <w:r>
        <w:rPr>
          <w:b/>
          <w:i w:val="0"/>
        </w:rPr>
        <w:t>WHS.</w:t>
      </w:r>
      <w:r>
        <w:rPr>
          <w:b w:val="0"/>
          <w:i w:val="0"/>
        </w:rPr>
        <w:t xml:space="preserve"> Compliance with the Work Health and Safety Act 2012 (SA); a site-specific SWMS and, for any work on the road, traffic management to DIT and Council requirements. Field staff to complete any Council induction.</w:t>
      </w:r>
    </w:p>
    <w:p>
      <w:pPr>
        <w:pStyle w:val="ListBullet"/>
      </w:pPr>
      <w:r>
        <w:rPr>
          <w:b/>
          <w:i w:val="0"/>
        </w:rPr>
        <w:t>Independence and conflict of interest.</w:t>
      </w:r>
      <w:r>
        <w:rPr>
          <w:b w:val="0"/>
          <w:i w:val="0"/>
        </w:rPr>
        <w:t xml:space="preserve"> Please declare any relationship with the developers of land on Hawthorn Road (#16, #73, #78, #147, #160, #239), with DIT's Adelaide Road intersection designers, or with any other party you know to be tendering for RFT 2026.013. If you are quoting to other tenderers, please say so; it does not exclude you, but JCE needs to know.</w:t>
      </w:r>
    </w:p>
    <w:p>
      <w:pPr>
        <w:pStyle w:val="ListBullet"/>
      </w:pPr>
      <w:r>
        <w:rPr>
          <w:b/>
          <w:i w:val="0"/>
        </w:rPr>
        <w:t>Naming in JCE's tender.</w:t>
      </w:r>
      <w:r>
        <w:rPr>
          <w:b w:val="0"/>
          <w:i w:val="0"/>
        </w:rPr>
        <w:t xml:space="preserve"> Council's Brief 9(d) asks for a schedule of sub-consultants, and clause 19 of the Agreement needs Council's consent to subcontract. Please confirm JCE may name your firm, and provide a short CV of the person who will lead the work and two relevant projects (client, year, scope).</w:t>
      </w:r>
    </w:p>
    <w:p>
      <w:pPr>
        <w:pStyle w:val="ListBullet"/>
      </w:pPr>
      <w:r>
        <w:rPr>
          <w:b/>
          <w:i w:val="0"/>
        </w:rPr>
        <w:t>ICAC.</w:t>
      </w:r>
      <w:r>
        <w:rPr>
          <w:b w:val="0"/>
          <w:i w:val="0"/>
        </w:rPr>
        <w:t xml:space="preserve"> Contractors on this Council contract are public officers under the Independent Commissioner Against Corruption Act 2012 (SA) (Brief 13; clause 20.16). Sub-consultants should expect the same obligations.</w:t>
      </w:r>
    </w:p>
    <w:p>
      <w:pPr>
        <w:pStyle w:val="ListBullet"/>
      </w:pPr>
      <w:r>
        <w:rPr>
          <w:b/>
          <w:i w:val="0"/>
        </w:rPr>
        <w:t>Intellectual property.</w:t>
      </w:r>
      <w:r>
        <w:rPr>
          <w:b w:val="0"/>
          <w:i w:val="0"/>
        </w:rPr>
        <w:t xml:space="preserve"> Clause 11 assigns copyright in the Deliverables to Council. Your deliverables will be passed to Council on that basis.</w:t>
      </w:r>
    </w:p>
    <w:p>
      <w:pPr>
        <w:pStyle w:val="Heading1"/>
      </w:pPr>
      <w:r>
        <w:t>7.0   Pricing schedule</w:t>
      </w:r>
    </w:p>
    <w:p>
      <w:pPr>
        <w:keepNext/>
      </w:pPr>
      <w:r>
        <w:rPr>
          <w:b w:val="0"/>
          <w:i w:val="0"/>
        </w:rPr>
        <w:t>Please price each item excluding GST and state your assumptions and exclusions. Items marked optional are for JCE's budget estimate of the later design stages only and are not part of the quotation total.</w:t>
      </w:r>
    </w:p>
    <w:tbl>
      <w:tblPr>
        <w:tblStyle w:val="TableGrid"/>
        <w:tblW w:type="auto" w:w="0"/>
        <w:jc w:val="center"/>
        <w:tblLook w:firstColumn="1" w:firstRow="1" w:lastColumn="0" w:lastRow="0" w:noHBand="0" w:noVBand="1" w:val="04A0"/>
      </w:tblPr>
      <w:tblGrid>
        <w:gridCol w:w="3213"/>
        <w:gridCol w:w="3213"/>
        <w:gridCol w:w="3213"/>
      </w:tblGrid>
      <w:tr>
        <w:trPr>
          <w:tblHeader/>
          <w:cantSplit/>
        </w:trPr>
        <w:tc>
          <w:tcPr>
            <w:tcW w:type="dxa" w:w="794"/>
            <w:shd w:val="clear" w:color="auto" w:fill="1A1A1A"/>
          </w:tcPr>
          <w:p>
            <w:pPr>
              <w:keepNext/>
            </w:pPr>
            <w:r/>
            <w:r>
              <w:rPr>
                <w:b/>
                <w:color w:val="FFFFFF"/>
                <w:sz w:val="18"/>
              </w:rPr>
              <w:t>Item</w:t>
            </w:r>
          </w:p>
        </w:tc>
        <w:tc>
          <w:tcPr>
            <w:tcW w:type="dxa" w:w="6576"/>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Price (excl. GST)</w:t>
            </w:r>
          </w:p>
        </w:tc>
      </w:tr>
      <w:tr>
        <w:trPr>
          <w:cantSplit/>
        </w:trPr>
        <w:tc>
          <w:tcPr>
            <w:tcW w:type="dxa" w:w="794"/>
          </w:tcPr>
          <w:p>
            <w:pPr>
              <w:keepNext/>
              <w:spacing w:after="20"/>
            </w:pPr>
            <w:r/>
            <w:r>
              <w:rPr>
                <w:b w:val="0"/>
                <w:i w:val="0"/>
                <w:sz w:val="18"/>
              </w:rPr>
              <w:t>1</w:t>
            </w:r>
          </w:p>
        </w:tc>
        <w:tc>
          <w:tcPr>
            <w:tcW w:type="dxa" w:w="6576"/>
          </w:tcPr>
          <w:p>
            <w:pPr>
              <w:keepNext/>
              <w:spacing w:after="20"/>
            </w:pPr>
            <w:r/>
            <w:r>
              <w:rPr>
                <w:b w:val="0"/>
                <w:i w:val="0"/>
                <w:sz w:val="18"/>
              </w:rPr>
              <w:t>Survey control and detail and level survey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2</w:t>
            </w:r>
          </w:p>
        </w:tc>
        <w:tc>
          <w:tcPr>
            <w:tcW w:type="dxa" w:w="6576"/>
          </w:tcPr>
          <w:p>
            <w:pPr>
              <w:keepNext/>
              <w:spacing w:after="20"/>
            </w:pPr>
            <w:r/>
            <w:r>
              <w:rPr>
                <w:b w:val="0"/>
                <w:i w:val="0"/>
                <w:sz w:val="18"/>
              </w:rPr>
              <w:t>Services location and pick-up to QL-B (lump sum; state the services assumed)</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3</w:t>
            </w:r>
          </w:p>
        </w:tc>
        <w:tc>
          <w:tcPr>
            <w:tcW w:type="dxa" w:w="6576"/>
          </w:tcPr>
          <w:p>
            <w:pPr>
              <w:keepNext/>
              <w:spacing w:after="20"/>
            </w:pPr>
            <w:r/>
            <w:r>
              <w:rPr>
                <w:b w:val="0"/>
                <w:i w:val="0"/>
                <w:sz w:val="18"/>
              </w:rPr>
              <w:t>3D tree survey (lump sum or rate per tree; state the number assumed)</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4</w:t>
            </w:r>
          </w:p>
        </w:tc>
        <w:tc>
          <w:tcPr>
            <w:tcW w:type="dxa" w:w="6576"/>
          </w:tcPr>
          <w:p>
            <w:pPr>
              <w:keepNext/>
              <w:spacing w:after="20"/>
            </w:pPr>
            <w:r/>
            <w:r>
              <w:rPr>
                <w:b w:val="0"/>
                <w:i w:val="0"/>
                <w:sz w:val="18"/>
              </w:rPr>
              <w:t>Boundary definition (state method; lump sum)</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5</w:t>
            </w:r>
          </w:p>
        </w:tc>
        <w:tc>
          <w:tcPr>
            <w:tcW w:type="dxa" w:w="6576"/>
          </w:tcPr>
          <w:p>
            <w:pPr>
              <w:keepNext/>
              <w:spacing w:after="20"/>
            </w:pPr>
            <w:r/>
            <w:r>
              <w:rPr>
                <w:b w:val="0"/>
                <w:i w:val="0"/>
                <w:sz w:val="18"/>
              </w:rPr>
              <w:t>Traffic management (lump sum or daily rate)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6</w:t>
            </w:r>
          </w:p>
        </w:tc>
        <w:tc>
          <w:tcPr>
            <w:tcW w:type="dxa" w:w="6576"/>
          </w:tcPr>
          <w:p>
            <w:pPr>
              <w:keepNext/>
              <w:spacing w:after="20"/>
            </w:pPr>
            <w:r/>
            <w:r>
              <w:rPr>
                <w:b w:val="0"/>
                <w:i w:val="0"/>
                <w:sz w:val="18"/>
              </w:rPr>
              <w:t>Optional, for budgeting only: targeted potholing or hydrovac of critical services in the detailed design stage (rate per pothole)</w:t>
            </w:r>
          </w:p>
        </w:tc>
        <w:tc>
          <w:tcPr>
            <w:tcW w:type="dxa" w:w="2268"/>
          </w:tcPr>
          <w:p>
            <w:pPr>
              <w:keepNext/>
              <w:spacing w:after="20"/>
              <w:jc w:val="right"/>
            </w:pPr>
            <w:r/>
            <w:r>
              <w:rPr>
                <w:b w:val="0"/>
                <w:i w:val="0"/>
                <w:sz w:val="18"/>
              </w:rPr>
              <w:t>$</w:t>
            </w:r>
          </w:p>
        </w:tc>
      </w:tr>
      <w:tr>
        <w:trPr>
          <w:cantSplit/>
        </w:trPr>
        <w:tc>
          <w:tcPr>
            <w:tcW w:type="dxa" w:w="794"/>
          </w:tcPr>
          <w:p>
            <w:pPr>
              <w:keepNext/>
              <w:spacing w:after="20"/>
            </w:pPr>
            <w:r/>
            <w:r>
              <w:rPr>
                <w:b w:val="0"/>
                <w:i w:val="0"/>
                <w:sz w:val="18"/>
              </w:rPr>
              <w:t>7</w:t>
            </w:r>
          </w:p>
        </w:tc>
        <w:tc>
          <w:tcPr>
            <w:tcW w:type="dxa" w:w="6576"/>
          </w:tcPr>
          <w:p>
            <w:pPr>
              <w:keepNext/>
              <w:spacing w:after="20"/>
            </w:pPr>
            <w:r/>
            <w:r>
              <w:rPr>
                <w:b w:val="0"/>
                <w:i w:val="0"/>
                <w:sz w:val="18"/>
              </w:rPr>
              <w:t>Hourly rates: licensed surveyor, field party, CAD</w:t>
            </w:r>
          </w:p>
        </w:tc>
        <w:tc>
          <w:tcPr>
            <w:tcW w:type="dxa" w:w="2268"/>
          </w:tcPr>
          <w:p>
            <w:pPr>
              <w:keepNext/>
              <w:spacing w:after="20"/>
              <w:jc w:val="right"/>
            </w:pPr>
            <w:r/>
            <w:r>
              <w:rPr>
                <w:b w:val="0"/>
                <w:i w:val="0"/>
                <w:sz w:val="18"/>
              </w:rPr>
              <w:t>$</w:t>
            </w:r>
          </w:p>
        </w:tc>
      </w:tr>
      <w:tr>
        <w:trPr>
          <w:cantSplit/>
        </w:trPr>
        <w:tc>
          <w:tcPr>
            <w:tcW w:type="dxa" w:w="794"/>
            <w:shd w:val="clear" w:color="auto" w:fill="F3E9C6"/>
          </w:tcPr>
          <w:p>
            <w:pPr>
              <w:spacing w:after="20"/>
            </w:pPr>
            <w:r/>
          </w:p>
        </w:tc>
        <w:tc>
          <w:tcPr>
            <w:tcW w:type="dxa" w:w="6576"/>
            <w:shd w:val="clear" w:color="auto" w:fill="F3E9C6"/>
          </w:tcPr>
          <w:p>
            <w:pPr>
              <w:spacing w:after="20"/>
            </w:pPr>
            <w:r/>
            <w:r>
              <w:rPr>
                <w:b/>
                <w:i w:val="0"/>
                <w:sz w:val="18"/>
              </w:rPr>
              <w:t>Total for the 30% concept stage (excl. GST, excluding optional items)</w:t>
            </w:r>
          </w:p>
        </w:tc>
        <w:tc>
          <w:tcPr>
            <w:tcW w:type="dxa" w:w="2268"/>
            <w:shd w:val="clear" w:color="auto" w:fill="F3E9C6"/>
          </w:tcPr>
          <w:p>
            <w:pPr>
              <w:spacing w:after="20"/>
              <w:jc w:val="right"/>
            </w:pPr>
            <w:r/>
            <w:r>
              <w:rPr>
                <w:b/>
                <w:i w:val="0"/>
                <w:sz w:val="18"/>
              </w:rPr>
              <w:t>$</w:t>
            </w:r>
          </w:p>
        </w:tc>
      </w:tr>
    </w:tbl>
    <w:p>
      <w:pPr>
        <w:spacing w:after="40"/>
      </w:pPr>
    </w:p>
    <w:p>
      <w:r>
        <w:rPr>
          <w:b w:val="0"/>
          <w:i w:val="0"/>
        </w:rPr>
        <w:t>With the schedule, please state: exclusions; assumptions on quantities, access and working hours; payment terms; key person and CV; insurance certificates; and confirmation that the quotation is valid for 90 days.</w:t>
      </w:r>
    </w:p>
    <w:p>
      <w:pPr>
        <w:pStyle w:val="Heading1"/>
      </w:pPr>
      <w:r>
        <w:t>8.0   Confidentiality and conditions</w:t>
      </w:r>
    </w:p>
    <w:p>
      <w:pPr>
        <w:pStyle w:val="ListBullet"/>
      </w:pPr>
      <w:r>
        <w:rPr>
          <w:b w:val="0"/>
          <w:i w:val="0"/>
        </w:rPr>
        <w:t>This request and Council's tender documents are confidential and are provided only so you can prepare your quotation. Please do not contact Council about this tender; send questions to JCE.</w:t>
      </w:r>
    </w:p>
    <w:p>
      <w:pPr>
        <w:pStyle w:val="ListBullet"/>
      </w:pPr>
      <w:r>
        <w:rPr>
          <w:b w:val="0"/>
          <w:i w:val="0"/>
        </w:rPr>
        <w:t>Any engagement depends on Council awarding the contract to JCE and consenting to JCE's sub-consultants (Agreement clause 19). The engagement will be on terms consistent with Council's Services Agreement. Requesting a quotation does not commit JCE to engage you.</w:t>
      </w:r>
    </w:p>
    <w:p>
      <w:pPr>
        <w:pStyle w:val="ListBullet"/>
      </w:pPr>
      <w:r>
        <w:rPr>
          <w:b w:val="0"/>
          <w:i w:val="0"/>
        </w:rPr>
        <w:t>Separable Portions 2 and 3 (detailed design to IFC) depend on Council's later written instruction (Agreement clause 2.5) and are not part of this request, apart from the optional indicative items.</w:t>
      </w:r>
    </w:p>
    <w:p>
      <w:pPr>
        <w:keepNext/>
      </w:pPr>
      <w:r>
        <w:rPr>
          <w:b w:val="0"/>
          <w:i w:val="0"/>
        </w:rPr>
        <w:t>Yours faithfully,</w:t>
      </w:r>
    </w:p>
    <w:p>
      <w:pPr>
        <w:keepNext/>
      </w:pPr>
      <w:r>
        <w:rPr>
          <w:b w:val="0"/>
          <w:i/>
        </w:rPr>
        <w:t>[signature]</w:t>
      </w:r>
    </w:p>
    <w:p>
      <w:pPr>
        <w:keepNext/>
        <w:spacing w:after="0"/>
      </w:pPr>
      <w:r>
        <w:rPr>
          <w:b/>
          <w:i w:val="0"/>
        </w:rPr>
        <w:t>Jayden Callen</w:t>
      </w:r>
    </w:p>
    <w:p>
      <w:pPr>
        <w:keepNext/>
        <w:spacing w:after="0"/>
      </w:pPr>
      <w:r>
        <w:rPr>
          <w:b w:val="0"/>
          <w:i w:val="0"/>
        </w:rPr>
        <w:t>Director, JCE Infrastructure Pty Ltd (ABN 29 699 165 663)</w:t>
      </w:r>
    </w:p>
    <w:p>
      <w:r>
        <w:rPr>
          <w:b w:val="0"/>
          <w:i w:val="0"/>
        </w:rPr>
        <w:t>0477 207 027  |  jayden@jceinfrastructure.com.au</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JCE-RFQ-VP523438-SURV  |  Hawthorn Road concept design (MBDC RFT 2026.013)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