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Carter Williamson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 xml:space="preserve">RAAF Base Townsville, Defence delivery project: engineering delivery for CPB Contractors (head contractor). Referee: Maverick Parker, CPB Contractors.</w:t>
      </w:r>
    </w:p>
    <w:p>
      <w:pPr>
        <w:pStyle w:val="ListBullet"/>
        <w:spacing w:after="40"/>
      </w:pPr>
      <w:r>
        <w:rPr>
          <w:sz w:val="21"/>
        </w:rPr>
        <w:t xml:space="preserve">Tablelands Regional Council (QLD), delivered by Jayden while at Langtree Consulting: floodway rectification on Council's road network, and the Ravenshoe leachate storage facility design modification (2025),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