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0"/>
      </w:pPr>
      <w:r>
        <w:rPr>
          <w:b/>
          <w:color w:val="C9A227"/>
          <w:sz w:val="17"/>
        </w:rPr>
        <w:t>CIVIL  |  HYDRAULICS  |  INFRASTRUCTURE ENGINEERING</w:t>
      </w:r>
    </w:p>
    <w:p>
      <w:pPr>
        <w:pBdr>
          <w:bottom w:val="single" w:sz="12" w:space="4" w:color="C9A227"/>
        </w:pBdr>
        <w:spacing w:after="160"/>
      </w:pPr>
      <w:r>
        <w:rPr>
          <w:color w:val="555555"/>
          <w:sz w:val="17"/>
        </w:rPr>
        <w:t>ABN 29 699 165 663   |   0477 207 027   |   jayden@jceinfrastructure.com.au   |   jceinfrastructure.com.au</w:t>
      </w:r>
    </w:p>
    <w:p>
      <w:r>
        <w:rPr>
          <w:b/>
          <w:color w:val="C9A227"/>
          <w:sz w:val="24"/>
        </w:rPr>
        <w:t>FEE PROPOSAL: PORT DOUGLAS MARINE INDUSTRY PRECINCT SCOPING STUDY (RFQ 2026-092)</w:t>
      </w:r>
    </w:p>
    <w:tbl>
      <w:tblPr>
        <w:tblStyle w:val="TableGrid"/>
        <w:tblW w:type="auto" w:w="0"/>
        <w:jc w:val="center"/>
        <w:tblLayout w:type="fixed"/>
        <w:tblLook w:firstColumn="1" w:firstRow="1" w:lastColumn="0" w:lastRow="0" w:noHBand="0" w:noVBand="1" w:val="04A0"/>
        <w:tblLayout w:type="fixed"/>
      </w:tblPr>
      <w:tblGrid>
        <w:gridCol w:w="1701"/>
        <w:gridCol w:w="3118"/>
        <w:gridCol w:w="1701"/>
        <w:gridCol w:w="3118"/>
      </w:tblGrid>
      <w:tr>
        <w:tc>
          <w:tcPr>
            <w:tcW w:type="dxa" w:w="1701"/>
            <w:shd w:val="clear" w:color="auto" w:fill="F3ECD3"/>
          </w:tcPr>
          <w:p>
            <w:r/>
            <w:r>
              <w:rPr>
                <w:b/>
                <w:sz w:val="17"/>
              </w:rPr>
              <w:t>Proposal No</w:t>
            </w:r>
          </w:p>
        </w:tc>
        <w:tc>
          <w:tcPr>
            <w:tcW w:type="dxa" w:w="3118"/>
          </w:tcPr>
          <w:p>
            <w:r/>
            <w:r>
              <w:rPr>
                <w:sz w:val="17"/>
              </w:rPr>
              <w:t>JCE-VP527224 (RFQ 2026-092)</w:t>
            </w:r>
          </w:p>
        </w:tc>
        <w:tc>
          <w:tcPr>
            <w:tcW w:type="dxa" w:w="1701"/>
            <w:shd w:val="clear" w:color="auto" w:fill="F3ECD3"/>
          </w:tcPr>
          <w:p>
            <w:r/>
            <w:r>
              <w:rPr>
                <w:b/>
                <w:sz w:val="17"/>
              </w:rPr>
              <w:t>Client</w:t>
            </w:r>
          </w:p>
        </w:tc>
        <w:tc>
          <w:tcPr>
            <w:tcW w:type="dxa" w:w="3118"/>
          </w:tcPr>
          <w:p>
            <w:r/>
            <w:r>
              <w:rPr>
                <w:sz w:val="17"/>
              </w:rPr>
              <w:t>Douglas Shire Council</w:t>
            </w:r>
          </w:p>
        </w:tc>
      </w:tr>
      <w:tr>
        <w:tc>
          <w:tcPr>
            <w:tcW w:type="dxa" w:w="1701"/>
            <w:shd w:val="clear" w:color="auto" w:fill="F3ECD3"/>
          </w:tcPr>
          <w:p>
            <w:r/>
            <w:r>
              <w:rPr>
                <w:b/>
                <w:sz w:val="17"/>
              </w:rPr>
              <w:t>Date</w:t>
            </w:r>
          </w:p>
        </w:tc>
        <w:tc>
          <w:tcPr>
            <w:tcW w:type="dxa" w:w="3118"/>
          </w:tcPr>
          <w:p>
            <w:r/>
            <w:r>
              <w:rPr>
                <w:sz w:val="17"/>
              </w:rPr>
              <w:t>12/10/2026</w:t>
            </w:r>
          </w:p>
        </w:tc>
        <w:tc>
          <w:tcPr>
            <w:tcW w:type="dxa" w:w="1701"/>
            <w:shd w:val="clear" w:color="auto" w:fill="F3ECD3"/>
          </w:tcPr>
          <w:p>
            <w:r/>
            <w:r>
              <w:rPr>
                <w:b/>
                <w:sz w:val="17"/>
              </w:rPr>
              <w:t>Attention</w:t>
            </w:r>
          </w:p>
        </w:tc>
        <w:tc>
          <w:tcPr>
            <w:tcW w:type="dxa" w:w="3118"/>
          </w:tcPr>
          <w:p>
            <w:r/>
            <w:r>
              <w:rPr>
                <w:sz w:val="17"/>
              </w:rPr>
              <w:t>Procurement, via VendorPanel</w:t>
            </w:r>
          </w:p>
        </w:tc>
      </w:tr>
      <w:tr>
        <w:tc>
          <w:tcPr>
            <w:tcW w:type="dxa" w:w="1701"/>
            <w:shd w:val="clear" w:color="auto" w:fill="F3ECD3"/>
          </w:tcPr>
          <w:p>
            <w:r/>
            <w:r>
              <w:rPr>
                <w:b/>
                <w:sz w:val="17"/>
              </w:rPr>
              <w:t>Revision</w:t>
            </w:r>
          </w:p>
        </w:tc>
        <w:tc>
          <w:tcPr>
            <w:tcW w:type="dxa" w:w="3118"/>
          </w:tcPr>
          <w:p>
            <w:r/>
            <w:r>
              <w:rPr>
                <w:sz w:val="17"/>
              </w:rPr>
              <w:t>G (final for lodgement)</w:t>
            </w:r>
          </w:p>
        </w:tc>
        <w:tc>
          <w:tcPr>
            <w:tcW w:type="dxa" w:w="1701"/>
            <w:shd w:val="clear" w:color="auto" w:fill="F3ECD3"/>
          </w:tcPr>
          <w:p>
            <w:r/>
            <w:r>
              <w:rPr>
                <w:b/>
                <w:sz w:val="17"/>
              </w:rPr>
              <w:t>Council contact</w:t>
            </w:r>
          </w:p>
        </w:tc>
        <w:tc>
          <w:tcPr>
            <w:tcW w:type="dxa" w:w="3118"/>
          </w:tcPr>
          <w:p>
            <w:r/>
            <w:r>
              <w:rPr>
                <w:sz w:val="17"/>
              </w:rPr>
              <w:t>Derek Langman, Principal's Representative</w:t>
            </w:r>
          </w:p>
        </w:tc>
      </w:tr>
      <w:tr>
        <w:tc>
          <w:tcPr>
            <w:tcW w:type="dxa" w:w="1701"/>
            <w:shd w:val="clear" w:color="auto" w:fill="F3ECD3"/>
          </w:tcPr>
          <w:p>
            <w:r/>
            <w:r>
              <w:rPr>
                <w:b/>
                <w:sz w:val="17"/>
              </w:rPr>
              <w:t>Prepared by</w:t>
            </w:r>
          </w:p>
        </w:tc>
        <w:tc>
          <w:tcPr>
            <w:tcW w:type="dxa" w:w="3118"/>
          </w:tcPr>
          <w:p>
            <w:r/>
            <w:r>
              <w:rPr>
                <w:sz w:val="17"/>
              </w:rPr>
              <w:t>Jayden Callen, Director</w:t>
            </w:r>
          </w:p>
        </w:tc>
        <w:tc>
          <w:tcPr>
            <w:tcW w:type="dxa" w:w="1701"/>
            <w:shd w:val="clear" w:color="auto" w:fill="F3ECD3"/>
          </w:tcPr>
          <w:p>
            <w:r/>
            <w:r>
              <w:rPr>
                <w:b/>
                <w:sz w:val="17"/>
              </w:rPr>
              <w:t>Project</w:t>
            </w:r>
          </w:p>
        </w:tc>
        <w:tc>
          <w:tcPr>
            <w:tcW w:type="dxa" w:w="3118"/>
          </w:tcPr>
          <w:p>
            <w:r/>
            <w:r>
              <w:rPr>
                <w:sz w:val="17"/>
              </w:rPr>
              <w:t>2026-092 Port Douglas Marine Industry Precinct Scoping Study</w:t>
            </w:r>
          </w:p>
        </w:tc>
      </w:tr>
      <w:tr>
        <w:tc>
          <w:tcPr>
            <w:tcW w:type="dxa" w:w="1701"/>
            <w:shd w:val="clear" w:color="auto" w:fill="F3ECD3"/>
          </w:tcPr>
          <w:p>
            <w:r/>
            <w:r>
              <w:rPr>
                <w:b/>
                <w:sz w:val="17"/>
              </w:rPr>
              <w:t>RPEQ sign-off</w:t>
            </w:r>
          </w:p>
        </w:tc>
        <w:tc>
          <w:tcPr>
            <w:tcW w:type="dxa" w:w="3118"/>
          </w:tcPr>
          <w:p>
            <w:r/>
            <w:r>
              <w:rPr>
                <w:sz w:val="17"/>
              </w:rPr>
              <w:t>Ben Lancini, CPEng, NER, RPEQ (Lancini Consulting) [TBC - Jayden: confirm availability and RPEQ number]</w:t>
            </w:r>
          </w:p>
        </w:tc>
        <w:tc>
          <w:tcPr>
            <w:tcW w:type="dxa" w:w="1701"/>
            <w:shd w:val="clear" w:color="auto" w:fill="F3ECD3"/>
          </w:tcPr>
          <w:p>
            <w:r/>
            <w:r>
              <w:rPr>
                <w:b/>
                <w:sz w:val="17"/>
              </w:rPr>
              <w:t>Site</w:t>
            </w:r>
          </w:p>
        </w:tc>
        <w:tc>
          <w:tcPr>
            <w:tcW w:type="dxa" w:w="3118"/>
          </w:tcPr>
          <w:p>
            <w:r/>
            <w:r>
              <w:rPr>
                <w:sz w:val="17"/>
              </w:rPr>
              <w:t>Greenfield site of about 3 ha on Dickson Inlet, Port Douglas QLD 4877</w:t>
            </w:r>
          </w:p>
        </w:tc>
      </w:tr>
      <w:tr>
        <w:tc>
          <w:tcPr>
            <w:tcW w:type="dxa" w:w="1701"/>
            <w:shd w:val="clear" w:color="auto" w:fill="F3ECD3"/>
          </w:tcPr>
          <w:p>
            <w:r/>
            <w:r>
              <w:rPr>
                <w:b/>
                <w:sz w:val="17"/>
              </w:rPr>
              <w:t>Closes</w:t>
            </w:r>
          </w:p>
        </w:tc>
        <w:tc>
          <w:tcPr>
            <w:tcW w:type="dxa" w:w="3118"/>
          </w:tcPr>
          <w:p>
            <w:r/>
            <w:r>
              <w:rPr>
                <w:sz w:val="17"/>
              </w:rPr>
              <w:t>Thu 22/10/2026, 2:00pm AEST</w:t>
            </w:r>
          </w:p>
        </w:tc>
        <w:tc>
          <w:tcPr>
            <w:tcW w:type="dxa" w:w="1701"/>
            <w:shd w:val="clear" w:color="auto" w:fill="F3ECD3"/>
          </w:tcPr>
          <w:p>
            <w:r/>
            <w:r>
              <w:rPr>
                <w:b/>
                <w:sz w:val="17"/>
              </w:rPr>
              <w:t>Validity</w:t>
            </w:r>
          </w:p>
        </w:tc>
        <w:tc>
          <w:tcPr>
            <w:tcW w:type="dxa" w:w="3118"/>
          </w:tcPr>
          <w:p>
            <w:r/>
            <w:r>
              <w:rPr>
                <w:sz w:val="17"/>
              </w:rPr>
              <w:t>90 calendar days from closing</w:t>
            </w:r>
          </w:p>
        </w:tc>
      </w:tr>
    </w:tbl>
    <w:p/>
    <w:p>
      <w:pPr>
        <w:keepNext w:val="0"/>
      </w:pPr>
      <w:r>
        <w:rPr>
          <w:i w:val="0"/>
        </w:rPr>
        <w:t>Dear Procurement Team,</w:t>
      </w:r>
    </w:p>
    <w:p>
      <w:pPr>
        <w:keepNext w:val="0"/>
      </w:pPr>
      <w:r>
        <w:rPr>
          <w:i w:val="0"/>
        </w:rPr>
        <w:t>JCE Infrastructure Pty Ltd (JCE) submits this proposal for the Port Douglas Marine Industry Precinct Scoping Study (RFQ 2026-092). JCE will lead the study as lead consultant and integrator. Jayden Callen, Director, will manage every specialist personally as Council's single point of contact, to one program with four hold points and one register of comments and actions. Until 05/2026 he was based in Townsville, managing engineering work across North Queensland and Cape York, and he has worked on the client side for a Far North Queensland council, where he shortlisted consultants for a council tender.</w:t>
      </w:r>
    </w:p>
    <w:p>
      <w:pPr>
        <w:keepNext w:val="0"/>
      </w:pPr>
      <w:r>
        <w:rPr>
          <w:i w:val="0"/>
        </w:rPr>
        <w:t>Engineering opinions in the study (marine, geotechnical and civil) will be prepared by, or under the direct supervision of, and signed by, a Registered Professional Engineer of Queensland (RPEQ) under the Professional Engineers Act 2002 (Qld). JCE's civil and infrastructure inputs will be signed by Ben Lancini, CPEng, NER, RPEQ (Lancini Consulting) [TBC - Jayden: confirm availability and RPEQ number], and the marine and coastal engineering by the marine partner's RPEQ.</w:t>
      </w:r>
    </w:p>
    <w:p>
      <w:pPr>
        <w:keepNext w:val="0"/>
      </w:pPr>
      <w:r>
        <w:rPr>
          <w:i w:val="0"/>
        </w:rPr>
        <w:t>The proposal responds to the Request for Quotations Parts 1 to 6, the Part 5 Scope, the draft Council Contract (Goods and Services) LGT2.4 and the addendum of 30/09/2026 [TBC - Jayden: confirm no later addenda on VendorPanel]. The completed Response Schedules (Part 6) are lodged with it. The lump sum is $277,700.00 excluding GST ($305,470.00 including GST).</w:t>
      </w:r>
    </w:p>
    <w:p>
      <w:pPr>
        <w:keepNext/>
        <w:keepLines/>
      </w:pPr>
      <w:r>
        <w:t>Please contact me on 0477 207 027 with any questions.</w:t>
      </w:r>
    </w:p>
    <w:p>
      <w:pPr>
        <w:keepNext/>
        <w:keepLines/>
      </w:pPr>
      <w:r>
        <w:t>Yours faithfully,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r>
        <w:t>0477 207 027   |   jayden@jceinfrastructure.com.au</w:t>
      </w:r>
    </w:p>
    <w:p>
      <w:r>
        <w:br w:type="page"/>
      </w:r>
    </w:p>
    <w:p>
      <w:pPr>
        <w:pStyle w:val="Heading1"/>
      </w:pPr>
      <w:r>
        <w:t>1.  Project understanding</w:t>
      </w:r>
    </w:p>
    <w:p>
      <w:pPr>
        <w:keepNext w:val="0"/>
      </w:pPr>
      <w:r>
        <w:rPr>
          <w:i w:val="0"/>
        </w:rPr>
        <w:t>Council wants to know whether, and how, a Marine Industry Precinct could be developed on the greenfield site between the two existing marinas and the Marano's fuel facility on Dickson Inlet. The site is about 3 ha with about 300 m of frontage to Dickson Inlet, and the project is to include a public boat ramp and associated parking.</w:t>
      </w:r>
    </w:p>
    <w:p>
      <w:pPr>
        <w:keepNext w:val="0"/>
      </w:pPr>
      <w:r>
        <w:rPr>
          <w:i w:val="0"/>
        </w:rPr>
        <w:t>The study responds to the need to broaden the Douglas Shire economy after the Mossman Mill closure, COVID-19 and Tropical Cyclone Jasper, and to the lack of local maintenance and repair capacity for reef tourism vessels, fishing fleets, cruising yachts and recreational boats, many of which travel to Cairns or further for servicing. The precinct is to complement the Cairns Marine Precinct and the proposed marine Common User Facility, not compete with them.</w:t>
      </w:r>
    </w:p>
    <w:p>
      <w:pPr>
        <w:keepNext w:val="0"/>
      </w:pPr>
      <w:r>
        <w:rPr>
          <w:i w:val="0"/>
        </w:rPr>
        <w:t>A key outcome is information Council can use for grant applications, potentially with industry partners. JCE reads the brief as needing three things to hold together: a credible market and economic case; a practical master plan for a constrained tidal site; and an approvals, delivery and cost picture that funding bodies will accept.</w:t>
      </w:r>
    </w:p>
    <w:p>
      <w:pPr>
        <w:keepNext w:val="0"/>
      </w:pPr>
      <w:r>
        <w:rPr>
          <w:i w:val="0"/>
        </w:rPr>
        <w:t>Existing work. JCE will build on the Port Douglas Waterfront South Tourism and Marine Master Plan (2019), Council's submission on the draft Far North Queensland Regional Plan (including the Dickson Inlet regional biodiversity corridor mapping and Council's case for a south dock industry precinct), Destination 2045 and the Mossman Transition Plan, so that the study extends earlier work instead of repeating it.</w:t>
      </w:r>
    </w:p>
    <w:p>
      <w:pPr>
        <w:pStyle w:val="Heading2"/>
      </w:pPr>
      <w:r>
        <w:t>Local knowledge (evaluation criterion 1, 10%)</w:t>
      </w:r>
    </w:p>
    <w:p>
      <w:pPr>
        <w:pStyle w:val="ListBullet"/>
      </w:pPr>
      <w:r>
        <w:t>Jayden Callen was based in Townsville as Senior Engineer and Design Manager with SCP Consulting and then as Civil Design Manager with Langtree Consulting Engineers (to 05/2026).</w:t>
      </w:r>
    </w:p>
    <w:p>
      <w:pPr>
        <w:pStyle w:val="ListBullet"/>
      </w:pPr>
      <w:r>
        <w:t>He managed civil design for Department of Aboriginal and Torres Strait Islander Partnerships (DATSIP) subdivisions in the remote Cape York communities of Aurukun, Pormpuraaw and Napranum, including site inspections and engineering services reports.</w:t>
      </w:r>
    </w:p>
    <w:p>
      <w:pPr>
        <w:pStyle w:val="ListBullet"/>
      </w:pPr>
      <w:r>
        <w:t>He was the contractor's point of contact for Defence works at HMAS Cairns and RAAF Base Townsville under the North Queensland Mid-Term Refresh (about $104 million combined).</w:t>
      </w:r>
    </w:p>
    <w:p>
      <w:pPr>
        <w:pStyle w:val="ListBullet"/>
      </w:pPr>
      <w:r>
        <w:t>He has worked on the client side for a Far North Queensland regional council, where he shortlisted consultants for a council tender [TBC - Jayden: name the council and referee once cleared].</w:t>
      </w:r>
    </w:p>
    <w:p>
      <w:pPr>
        <w:pStyle w:val="ListBullet"/>
      </w:pPr>
      <w:r>
        <w:t>JCE has invited Cairns and North Queensland firms to quote for each specialist discipline, so that local knowledge sits in the team that does the research, engagement, planning and ecology work. The firms will be named in Schedule F2 once confirmed [TBC - Jayden: names after quotes due 15/10/2026].</w:t>
      </w:r>
    </w:p>
    <w:p>
      <w:pPr>
        <w:pStyle w:val="Heading1"/>
      </w:pPr>
      <w:r>
        <w:t>2.  Approach, team and registration</w:t>
      </w:r>
    </w:p>
    <w:p>
      <w:pPr>
        <w:keepNext w:val="0"/>
      </w:pPr>
      <w:r>
        <w:rPr>
          <w:i w:val="0"/>
        </w:rPr>
        <w:t>JCE is lead consultant and integrator. Jayden Callen leads the study, manages the program and every specialist, and leads the site, infrastructure, master planning, delivery strategy and risk work. Specialist partners deliver the economics, engagement, marine engineering, geotechnical, planning, ecology and cost inputs, each with a named lead and backup.</w:t>
      </w:r>
    </w:p>
    <w:tbl>
      <w:tblPr>
        <w:tblStyle w:val="TableGrid"/>
        <w:tblW w:type="auto" w:w="0"/>
        <w:jc w:val="center"/>
        <w:tblLayout w:type="fixed"/>
        <w:tblLook w:firstColumn="1" w:firstRow="1" w:lastColumn="0" w:lastRow="0" w:noHBand="0" w:noVBand="1" w:val="04A0"/>
        <w:tblLayout w:type="fixed"/>
      </w:tblPr>
      <w:tblGrid>
        <w:gridCol w:w="2835"/>
        <w:gridCol w:w="3118"/>
        <w:gridCol w:w="3685"/>
      </w:tblGrid>
      <w:tr>
        <w:trPr>
          <w:tblHeader/>
          <w:cantSplit/>
        </w:trPr>
        <w:tc>
          <w:tcPr>
            <w:tcW w:type="dxa" w:w="2835"/>
            <w:shd w:val="clear" w:color="auto" w:fill="1A1A1A"/>
          </w:tcPr>
          <w:p>
            <w:pPr>
              <w:keepNext/>
            </w:pPr>
            <w:r/>
            <w:r>
              <w:rPr>
                <w:b/>
                <w:color w:val="FFFFFF"/>
                <w:sz w:val="17"/>
              </w:rPr>
              <w:t>Discipline</w:t>
            </w:r>
          </w:p>
        </w:tc>
        <w:tc>
          <w:tcPr>
            <w:tcW w:type="dxa" w:w="3118"/>
            <w:shd w:val="clear" w:color="auto" w:fill="1A1A1A"/>
          </w:tcPr>
          <w:p>
            <w:pPr>
              <w:keepNext/>
            </w:pPr>
            <w:r/>
            <w:r>
              <w:rPr>
                <w:b/>
                <w:color w:val="FFFFFF"/>
                <w:sz w:val="17"/>
              </w:rPr>
              <w:t>Who</w:t>
            </w:r>
          </w:p>
        </w:tc>
        <w:tc>
          <w:tcPr>
            <w:tcW w:type="dxa" w:w="3685"/>
            <w:shd w:val="clear" w:color="auto" w:fill="1A1A1A"/>
          </w:tcPr>
          <w:p>
            <w:pPr>
              <w:keepNext/>
            </w:pPr>
            <w:r/>
            <w:r>
              <w:rPr>
                <w:b/>
                <w:color w:val="FFFFFF"/>
                <w:sz w:val="17"/>
              </w:rPr>
              <w:t>Registration or sign-off</w:t>
            </w:r>
          </w:p>
        </w:tc>
      </w:tr>
      <w:tr>
        <w:trPr>
          <w:cantSplit/>
        </w:trPr>
        <w:tc>
          <w:tcPr>
            <w:tcW w:type="dxa" w:w="2835"/>
          </w:tcPr>
          <w:p>
            <w:pPr>
              <w:keepNext/>
            </w:pPr>
            <w:r/>
            <w:r>
              <w:rPr>
                <w:sz w:val="17"/>
              </w:rPr>
              <w:t>Study lead, master planning, infrastructure, delivery, risk</w:t>
            </w:r>
          </w:p>
        </w:tc>
        <w:tc>
          <w:tcPr>
            <w:tcW w:type="dxa" w:w="3118"/>
          </w:tcPr>
          <w:p>
            <w:pPr>
              <w:keepNext/>
            </w:pPr>
            <w:r/>
            <w:r>
              <w:rPr>
                <w:sz w:val="17"/>
              </w:rPr>
              <w:t>JCE: Jayden Callen</w:t>
            </w:r>
          </w:p>
        </w:tc>
        <w:tc>
          <w:tcPr>
            <w:tcW w:type="dxa" w:w="3685"/>
          </w:tcPr>
          <w:p>
            <w:pPr>
              <w:keepNext/>
            </w:pPr>
            <w:r/>
            <w:r>
              <w:rPr>
                <w:sz w:val="17"/>
              </w:rPr>
              <w:t>BEng (Hons), MIEAust (EA 11036201), NER application in progress; not RPEQ</w:t>
            </w:r>
          </w:p>
        </w:tc>
      </w:tr>
      <w:tr>
        <w:trPr>
          <w:cantSplit/>
        </w:trPr>
        <w:tc>
          <w:tcPr>
            <w:tcW w:type="dxa" w:w="2835"/>
          </w:tcPr>
          <w:p>
            <w:pPr>
              <w:keepNext/>
            </w:pPr>
            <w:r/>
            <w:r>
              <w:rPr>
                <w:sz w:val="17"/>
              </w:rPr>
              <w:t>RPEQ (Civil) supervision and sign-off of JCE engineering</w:t>
            </w:r>
          </w:p>
        </w:tc>
        <w:tc>
          <w:tcPr>
            <w:tcW w:type="dxa" w:w="3118"/>
          </w:tcPr>
          <w:p>
            <w:pPr>
              <w:keepNext/>
            </w:pPr>
            <w:r/>
            <w:r>
              <w:rPr>
                <w:sz w:val="17"/>
              </w:rPr>
              <w:t>Ben Lancini, Lancini Consulting [TBC - Jayden]</w:t>
            </w:r>
          </w:p>
        </w:tc>
        <w:tc>
          <w:tcPr>
            <w:tcW w:type="dxa" w:w="3685"/>
          </w:tcPr>
          <w:p>
            <w:pPr>
              <w:keepNext/>
            </w:pPr>
            <w:r/>
            <w:r>
              <w:rPr>
                <w:sz w:val="17"/>
              </w:rPr>
              <w:t>CPEng, NER, RPEQ [TBC - Jayden: RPEQ number]</w:t>
            </w:r>
          </w:p>
        </w:tc>
      </w:tr>
      <w:tr>
        <w:trPr>
          <w:cantSplit/>
        </w:trPr>
        <w:tc>
          <w:tcPr>
            <w:tcW w:type="dxa" w:w="2835"/>
          </w:tcPr>
          <w:p>
            <w:pPr>
              <w:keepNext/>
            </w:pPr>
            <w:r/>
            <w:r>
              <w:rPr>
                <w:sz w:val="17"/>
              </w:rPr>
              <w:t>Marine and coastal engineering</w:t>
            </w:r>
          </w:p>
        </w:tc>
        <w:tc>
          <w:tcPr>
            <w:tcW w:type="dxa" w:w="3118"/>
          </w:tcPr>
          <w:p>
            <w:pPr>
              <w:keepNext/>
            </w:pPr>
            <w:r/>
            <w:r>
              <w:rPr>
                <w:sz w:val="17"/>
              </w:rPr>
              <w:t>Marine partner [TBC - Jayden: from quotes]</w:t>
            </w:r>
          </w:p>
        </w:tc>
        <w:tc>
          <w:tcPr>
            <w:tcW w:type="dxa" w:w="3685"/>
          </w:tcPr>
          <w:p>
            <w:pPr>
              <w:keepNext/>
            </w:pPr>
            <w:r/>
            <w:r>
              <w:rPr>
                <w:sz w:val="17"/>
              </w:rPr>
              <w:t>RPEQ in the relevant area, signs marine content</w:t>
            </w:r>
          </w:p>
        </w:tc>
      </w:tr>
      <w:tr>
        <w:trPr>
          <w:cantSplit/>
        </w:trPr>
        <w:tc>
          <w:tcPr>
            <w:tcW w:type="dxa" w:w="2835"/>
          </w:tcPr>
          <w:p>
            <w:pPr>
              <w:keepNext/>
            </w:pPr>
            <w:r/>
            <w:r>
              <w:rPr>
                <w:sz w:val="17"/>
              </w:rPr>
              <w:t>Desktop geotechnical assessment</w:t>
            </w:r>
          </w:p>
        </w:tc>
        <w:tc>
          <w:tcPr>
            <w:tcW w:type="dxa" w:w="3118"/>
          </w:tcPr>
          <w:p>
            <w:pPr>
              <w:keepNext/>
            </w:pPr>
            <w:r/>
            <w:r>
              <w:rPr>
                <w:sz w:val="17"/>
              </w:rPr>
              <w:t>Geotechnical partner [TBC - Jayden]</w:t>
            </w:r>
          </w:p>
        </w:tc>
        <w:tc>
          <w:tcPr>
            <w:tcW w:type="dxa" w:w="3685"/>
          </w:tcPr>
          <w:p>
            <w:pPr>
              <w:keepNext/>
            </w:pPr>
            <w:r/>
            <w:r>
              <w:rPr>
                <w:sz w:val="17"/>
              </w:rPr>
              <w:t>RPEQ (Geotechnical), signs memo</w:t>
            </w:r>
          </w:p>
        </w:tc>
      </w:tr>
      <w:tr>
        <w:trPr>
          <w:cantSplit/>
        </w:trPr>
        <w:tc>
          <w:tcPr>
            <w:tcW w:type="dxa" w:w="2835"/>
          </w:tcPr>
          <w:p>
            <w:pPr>
              <w:keepNext/>
            </w:pPr>
            <w:r/>
            <w:r>
              <w:rPr>
                <w:sz w:val="17"/>
              </w:rPr>
              <w:t>Economics, market research, stakeholder engagement</w:t>
            </w:r>
          </w:p>
        </w:tc>
        <w:tc>
          <w:tcPr>
            <w:tcW w:type="dxa" w:w="3118"/>
          </w:tcPr>
          <w:p>
            <w:pPr>
              <w:keepNext/>
            </w:pPr>
            <w:r/>
            <w:r>
              <w:rPr>
                <w:sz w:val="17"/>
              </w:rPr>
              <w:t>Economics partner, FNQ preferred [TBC - Jayden]</w:t>
            </w:r>
          </w:p>
        </w:tc>
        <w:tc>
          <w:tcPr>
            <w:tcW w:type="dxa" w:w="3685"/>
          </w:tcPr>
          <w:p>
            <w:pPr>
              <w:keepNext/>
            </w:pPr>
            <w:r/>
            <w:r>
              <w:rPr>
                <w:sz w:val="17"/>
              </w:rPr>
              <w:t>Not an engineering service</w:t>
            </w:r>
          </w:p>
        </w:tc>
      </w:tr>
      <w:tr>
        <w:trPr>
          <w:cantSplit/>
        </w:trPr>
        <w:tc>
          <w:tcPr>
            <w:tcW w:type="dxa" w:w="2835"/>
          </w:tcPr>
          <w:p>
            <w:pPr>
              <w:keepNext/>
            </w:pPr>
            <w:r/>
            <w:r>
              <w:rPr>
                <w:sz w:val="17"/>
              </w:rPr>
              <w:t>Town planning, approvals, urban design</w:t>
            </w:r>
          </w:p>
        </w:tc>
        <w:tc>
          <w:tcPr>
            <w:tcW w:type="dxa" w:w="3118"/>
          </w:tcPr>
          <w:p>
            <w:pPr>
              <w:keepNext/>
            </w:pPr>
            <w:r/>
            <w:r>
              <w:rPr>
                <w:sz w:val="17"/>
              </w:rPr>
              <w:t>Planning partner, Cairns preferred [TBC - Jayden]</w:t>
            </w:r>
          </w:p>
        </w:tc>
        <w:tc>
          <w:tcPr>
            <w:tcW w:type="dxa" w:w="3685"/>
          </w:tcPr>
          <w:p>
            <w:pPr>
              <w:keepNext/>
            </w:pPr>
            <w:r/>
            <w:r>
              <w:rPr>
                <w:sz w:val="17"/>
              </w:rPr>
              <w:t>PIA membership</w:t>
            </w:r>
          </w:p>
        </w:tc>
      </w:tr>
      <w:tr>
        <w:trPr>
          <w:cantSplit/>
        </w:trPr>
        <w:tc>
          <w:tcPr>
            <w:tcW w:type="dxa" w:w="2835"/>
          </w:tcPr>
          <w:p>
            <w:pPr>
              <w:keepNext/>
            </w:pPr>
            <w:r/>
            <w:r>
              <w:rPr>
                <w:sz w:val="17"/>
              </w:rPr>
              <w:t>Environmental constraints and approvals</w:t>
            </w:r>
          </w:p>
        </w:tc>
        <w:tc>
          <w:tcPr>
            <w:tcW w:type="dxa" w:w="3118"/>
          </w:tcPr>
          <w:p>
            <w:pPr>
              <w:keepNext/>
            </w:pPr>
            <w:r/>
            <w:r>
              <w:rPr>
                <w:sz w:val="17"/>
              </w:rPr>
              <w:t>Ecology partner, FNQ preferred [TBC - Jayden]</w:t>
            </w:r>
          </w:p>
        </w:tc>
        <w:tc>
          <w:tcPr>
            <w:tcW w:type="dxa" w:w="3685"/>
          </w:tcPr>
          <w:p>
            <w:pPr>
              <w:keepNext/>
            </w:pPr>
            <w:r/>
            <w:r>
              <w:rPr>
                <w:sz w:val="17"/>
              </w:rPr>
              <w:t>EIANZ or equivalent</w:t>
            </w:r>
          </w:p>
        </w:tc>
      </w:tr>
      <w:tr>
        <w:trPr>
          <w:cantSplit/>
        </w:trPr>
        <w:tc>
          <w:tcPr>
            <w:tcW w:type="dxa" w:w="2835"/>
          </w:tcPr>
          <w:p>
            <w:r/>
            <w:r>
              <w:rPr>
                <w:sz w:val="17"/>
              </w:rPr>
              <w:t>Cost planning</w:t>
            </w:r>
          </w:p>
        </w:tc>
        <w:tc>
          <w:tcPr>
            <w:tcW w:type="dxa" w:w="3118"/>
          </w:tcPr>
          <w:p>
            <w:r/>
            <w:r>
              <w:rPr>
                <w:sz w:val="17"/>
              </w:rPr>
              <w:t>Quantity surveyor [TBC - Jayden]</w:t>
            </w:r>
          </w:p>
        </w:tc>
        <w:tc>
          <w:tcPr>
            <w:tcW w:type="dxa" w:w="3685"/>
          </w:tcPr>
          <w:p>
            <w:r/>
            <w:r>
              <w:rPr>
                <w:sz w:val="17"/>
              </w:rPr>
              <w:t>AIQS or equivalent</w:t>
            </w:r>
          </w:p>
        </w:tc>
      </w:tr>
    </w:tbl>
    <w:p>
      <w:pPr>
        <w:spacing w:after="40"/>
      </w:pPr>
    </w:p>
    <w:p>
      <w:pPr>
        <w:keepNext/>
      </w:pPr>
      <w:r>
        <w:rPr>
          <w:i w:val="0"/>
        </w:rPr>
        <w:t>How Jayden will manage the team:</w:t>
      </w:r>
    </w:p>
    <w:p>
      <w:pPr>
        <w:pStyle w:val="ListBullet"/>
      </w:pPr>
      <w:r>
        <w:t>One program, issued with the Activity Plan, with four hold points (HP1 to HP4) at which Council confirms the direction before the next stage starts.</w:t>
      </w:r>
    </w:p>
    <w:p>
      <w:pPr>
        <w:pStyle w:val="ListBullet"/>
      </w:pPr>
      <w:r>
        <w:t>A briefing for each specialist at inception, written interface notes between disciplines (for example waterside and landside layouts, quantities to the cost planner), and fortnightly internal coordination.</w:t>
      </w:r>
    </w:p>
    <w:p>
      <w:pPr>
        <w:pStyle w:val="ListBullet"/>
      </w:pPr>
      <w:r>
        <w:t>Technical review of every input before it reaches Council, and RPEQ sign-off of all engineering content before issue.</w:t>
      </w:r>
    </w:p>
    <w:p>
      <w:pPr>
        <w:pStyle w:val="ListBullet"/>
      </w:pPr>
      <w:r>
        <w:t>One register of Council comments and actions, closed out and returned with each issue.</w:t>
      </w:r>
    </w:p>
    <w:p>
      <w:pPr>
        <w:keepNext w:val="0"/>
      </w:pPr>
      <w:r>
        <w:rPr>
          <w:i w:val="0"/>
        </w:rPr>
        <w:t>Continuity. Each specialist firm will name a lead and a backup. JCE's backup project lead is [TBC - Jayden: name the JCE backup]. Jayden Callen is available for the whole contract.</w:t>
      </w:r>
    </w:p>
    <w:p>
      <w:pPr>
        <w:pStyle w:val="Heading1"/>
      </w:pPr>
      <w:r>
        <w:t>3.  Scope of services and methodology</w:t>
      </w:r>
    </w:p>
    <w:p>
      <w:pPr>
        <w:keepNext w:val="0"/>
      </w:pPr>
      <w:r>
        <w:rPr>
          <w:i w:val="0"/>
        </w:rPr>
        <w:t>The methodology has seven stages that deliver the four milestone deliverables in the Scope. Each stage lists the tasks and who does them.</w:t>
      </w:r>
    </w:p>
    <w:p>
      <w:pPr>
        <w:pStyle w:val="Heading3"/>
      </w:pPr>
      <w:r>
        <w:t>Stage 1  Inception, background review and Activity Plan and Program</w:t>
      </w:r>
    </w:p>
    <w:p>
      <w:pPr>
        <w:pStyle w:val="ListBullet"/>
      </w:pPr>
      <w:r>
        <w:t>Inception meeting with Council at Mossman, combined with site visit 1: objectives, stakeholders, adjacent projects, communication protocols and the information Council will provide (JCE, with the economics partner).</w:t>
      </w:r>
    </w:p>
    <w:p>
      <w:pPr>
        <w:pStyle w:val="ListBullet"/>
      </w:pPr>
      <w:r>
        <w:t>Inspection of the site, Dickson Inlet, the public boat ramp, the marinas and the fuel facility, and initial meetings with key operators where Council arranges them (JCE; ecology walkover by the ecology partner).</w:t>
      </w:r>
    </w:p>
    <w:p>
      <w:pPr>
        <w:pStyle w:val="ListBullet"/>
      </w:pPr>
      <w:r>
        <w:t>Review of previous studies, Council reports, the Douglas Shire Planning Scheme, the FNQ Regional Plan, State Planning Policy, Destination 2045 and the Mossman Transition Plan; GIS base mapping of tenure, overlays, ground elevation, storm tide and flood data (JCE).</w:t>
      </w:r>
    </w:p>
    <w:p>
      <w:pPr>
        <w:pStyle w:val="ListBullet"/>
      </w:pPr>
      <w:r>
        <w:t>Drone photogrammetry of the site, the Dickson Inlet frontage and the boat ramp during site visit 1 (orthophoto and 3D model), used as the current base for the constraints mapping and concept plans and for engagement visuals, within the airspace limits in Section 7 (JCE).</w:t>
      </w:r>
    </w:p>
    <w:p>
      <w:pPr>
        <w:pStyle w:val="ListBullet"/>
      </w:pPr>
      <w:r>
        <w:t>Activity Plan and Program within one month of award: comparable marine precincts to be researched, industry partners and community representatives to be engaged, the engagement plan and the detailed program. HP1: Council accepts the Activity Plan.</w:t>
      </w:r>
    </w:p>
    <w:p>
      <w:pPr>
        <w:pStyle w:val="Heading3"/>
      </w:pPr>
      <w:r>
        <w:t>Stage 2  Marine industry research, market and economic analysis</w:t>
      </w:r>
    </w:p>
    <w:p>
      <w:pPr>
        <w:pStyle w:val="ListBullet"/>
      </w:pPr>
      <w:r>
        <w:t>The current state of the marine industry locally, across Queensland and nationally: drivers of viable marine precincts, industry constraints and existing service provision, including Cairns, Townsville, Mackay and the Whitsundays (economics partner).</w:t>
      </w:r>
    </w:p>
    <w:p>
      <w:pPr>
        <w:pStyle w:val="ListBullet"/>
      </w:pPr>
      <w:r>
        <w:t>Market review and gap analysis: the vessel fleet and haul-out demand Port Douglas could serve, the vessel classes the Cairns facilities do not, and the facility size this supports (economics partner, with JCE infrastructure benchmarking).</w:t>
      </w:r>
    </w:p>
    <w:p>
      <w:pPr>
        <w:pStyle w:val="ListBullet"/>
      </w:pPr>
      <w:r>
        <w:t>Economic benefits: types and numbers of jobs, types and volume of businesses that may establish, secondary businesses and tourism markets supported, and the economic drivers unique to Port Douglas and Far North Queensland (economics partner).</w:t>
      </w:r>
    </w:p>
    <w:p>
      <w:pPr>
        <w:pStyle w:val="Heading3"/>
      </w:pPr>
      <w:r>
        <w:t>Stage 3  Stakeholder engagement</w:t>
      </w:r>
    </w:p>
    <w:p>
      <w:pPr>
        <w:pStyle w:val="ListBullet"/>
      </w:pPr>
      <w:r>
        <w:t>Lead the Council-facilitated engagement program: interviews and industry sounding with tourism operators, marine businesses, the marinas and yacht club, elected members and officers of all levels of government, and community representatives (economics and engagement partner, with JCE).</w:t>
      </w:r>
    </w:p>
    <w:p>
      <w:pPr>
        <w:pStyle w:val="ListBullet"/>
      </w:pPr>
      <w:r>
        <w:t>One industry workshop in Port Douglas, and engagement with adjacent projects by Council and others.</w:t>
      </w:r>
    </w:p>
    <w:p>
      <w:pPr>
        <w:pStyle w:val="ListBullet"/>
      </w:pPr>
      <w:r>
        <w:t>A consultation record of key observations, stated requirements, opportunities and gaps.</w:t>
      </w:r>
    </w:p>
    <w:p>
      <w:pPr>
        <w:pStyle w:val="Heading3"/>
      </w:pPr>
      <w:r>
        <w:t>Stage 4  Concept plans and master plan</w:t>
      </w:r>
    </w:p>
    <w:p>
      <w:pPr>
        <w:pStyle w:val="ListBullet"/>
      </w:pPr>
      <w:r>
        <w:t>Site constraints: storm tide and coastal hazard, flooding, acid sulfate soils, marine plants and vegetation, tenure and zoning, services and access (JCE, marine, geotechnical, ecology and planning partners).</w:t>
      </w:r>
    </w:p>
    <w:p>
      <w:pPr>
        <w:pStyle w:val="ListBullet"/>
      </w:pPr>
      <w:r>
        <w:t>A landside and waterside functional brief: travel lift and slipway capacity, hardstand by vessel class, workshops, wash-down and waste, storage, berths, boat ramp and parking.</w:t>
      </w:r>
    </w:p>
    <w:p>
      <w:pPr>
        <w:pStyle w:val="ListBullet"/>
      </w:pPr>
      <w:r>
        <w:t>Three concept plans, compared against agreed criteria at an online workshop with Council. HP2: Council confirms the preferred concept.</w:t>
      </w:r>
    </w:p>
    <w:p>
      <w:pPr>
        <w:pStyle w:val="ListBullet"/>
      </w:pPr>
      <w:r>
        <w:t>A master plan for the preferred concept covering the base infrastructure layout, location viability, key features and structural works, marine engineering requirements (water depths, groynes, dredging and piling), enabling infrastructure (services and road layout), construction staging options with costs and timing, connectivity to adjacent precincts, and amenity, streetscape and urban design guidance. Marine content signed by the marine partner's RPEQ; civil content signed by the RPEQ (Civil).</w:t>
      </w:r>
    </w:p>
    <w:p>
      <w:pPr>
        <w:pStyle w:val="Heading3"/>
      </w:pPr>
      <w:r>
        <w:t>Stage 5  Planning and approvals, delivery strategy, risk and cost analysis</w:t>
      </w:r>
    </w:p>
    <w:p>
      <w:pPr>
        <w:pStyle w:val="ListBullet"/>
      </w:pPr>
      <w:r>
        <w:t>Planning, environmental and regulatory approvals from local, State and Commonwealth government, with a proposed approvals pathway and estimated timeframes (planning and ecology partners, coordinated by JCE).</w:t>
      </w:r>
    </w:p>
    <w:p>
      <w:pPr>
        <w:pStyle w:val="ListBullet"/>
      </w:pPr>
      <w:r>
        <w:t>Delivery strategy options (for example Council-led, joint venture, lease to an operator, or staged public and private delivery) with recommendations (JCE, with the economics partner).</w:t>
      </w:r>
    </w:p>
    <w:p>
      <w:pPr>
        <w:pStyle w:val="ListBullet"/>
      </w:pPr>
      <w:r>
        <w:t>A risk register for the preferred concept with likelihood and consequence ratings and mitigations (JCE).</w:t>
      </w:r>
    </w:p>
    <w:p>
      <w:pPr>
        <w:pStyle w:val="ListBullet"/>
      </w:pPr>
      <w:r>
        <w:t>Cost analysis for planning, budgeting and grant applications, based on recent similar projects, prepared by an independent quantity surveyor from JCE and marine quantities.</w:t>
      </w:r>
    </w:p>
    <w:p>
      <w:pPr>
        <w:pStyle w:val="Heading3"/>
      </w:pPr>
      <w:r>
        <w:t>Stage 6  Draft and Final Scoping Reports</w:t>
      </w:r>
    </w:p>
    <w:p>
      <w:pPr>
        <w:pStyle w:val="ListBullet"/>
      </w:pPr>
      <w:r>
        <w:t>Draft Scoping Report covering the nine minimum content items in the Scope, plus a short grant-ready project summary. HP3: issue of the Draft Report for Council review.</w:t>
      </w:r>
    </w:p>
    <w:p>
      <w:pPr>
        <w:pStyle w:val="ListBullet"/>
      </w:pPr>
      <w:r>
        <w:t>Final Scoping Report addressing one round of consolidated Council and stakeholder comments, with figures, plans and data for Council's ongoing use. HP4: issue of the Final Report.</w:t>
      </w:r>
    </w:p>
    <w:p>
      <w:pPr>
        <w:pStyle w:val="Heading3"/>
      </w:pPr>
      <w:r>
        <w:t>Stage 7  Presentation to Council</w:t>
      </w:r>
    </w:p>
    <w:p>
      <w:pPr>
        <w:pStyle w:val="ListBullet"/>
      </w:pPr>
      <w:r>
        <w:t>Presentation of the research, master plan and next steps to a Council meeting in May 2027, in person (Jayden Callen).</w:t>
      </w:r>
    </w:p>
    <w:p>
      <w:pPr>
        <w:pStyle w:val="Heading2"/>
      </w:pPr>
      <w:r>
        <w:t>Value-Add proposals</w:t>
      </w:r>
    </w:p>
    <w:p>
      <w:pPr>
        <w:pStyle w:val="ListBullet"/>
      </w:pPr>
      <w:r>
        <w:t>A grant-ready project summary and next-steps roadmap as a stand-alone document Council can attach to funding applications.</w:t>
      </w:r>
    </w:p>
    <w:p>
      <w:pPr>
        <w:pStyle w:val="ListBullet"/>
      </w:pPr>
      <w:r>
        <w:t>Cost analysis and staging set out so that early stages (for example the boat ramp, parking and enabling works) can be funded separately.</w:t>
      </w:r>
    </w:p>
    <w:p>
      <w:pPr>
        <w:pStyle w:val="ListBullet"/>
      </w:pPr>
      <w:r>
        <w:t>The master plan supplied in GIS and CAD formats for Council's ongoing use.</w:t>
      </w:r>
    </w:p>
    <w:p>
      <w:pPr>
        <w:pStyle w:val="Heading1"/>
      </w:pPr>
      <w:r>
        <w:t>4.  Key risks, problems and solutions</w:t>
      </w:r>
    </w:p>
    <w:tbl>
      <w:tblPr>
        <w:tblStyle w:val="TableGrid"/>
        <w:tblW w:type="auto" w:w="0"/>
        <w:jc w:val="center"/>
        <w:tblLayout w:type="fixed"/>
        <w:tblLook w:firstColumn="1" w:firstRow="1" w:lastColumn="0" w:lastRow="0" w:noHBand="0" w:noVBand="1" w:val="04A0"/>
        <w:tblLayout w:type="fixed"/>
      </w:tblPr>
      <w:tblGrid>
        <w:gridCol w:w="2608"/>
        <w:gridCol w:w="2041"/>
        <w:gridCol w:w="4989"/>
      </w:tblGrid>
      <w:tr>
        <w:trPr>
          <w:tblHeader/>
          <w:cantSplit/>
        </w:trPr>
        <w:tc>
          <w:tcPr>
            <w:tcW w:type="dxa" w:w="2608"/>
            <w:shd w:val="clear" w:color="auto" w:fill="1A1A1A"/>
          </w:tcPr>
          <w:p>
            <w:pPr>
              <w:keepNext/>
            </w:pPr>
            <w:r/>
            <w:r>
              <w:rPr>
                <w:b/>
                <w:color w:val="FFFFFF"/>
                <w:sz w:val="17"/>
              </w:rPr>
              <w:t>Risk or problem</w:t>
            </w:r>
          </w:p>
        </w:tc>
        <w:tc>
          <w:tcPr>
            <w:tcW w:type="dxa" w:w="2041"/>
            <w:shd w:val="clear" w:color="auto" w:fill="1A1A1A"/>
          </w:tcPr>
          <w:p>
            <w:pPr>
              <w:keepNext/>
            </w:pPr>
            <w:r/>
            <w:r>
              <w:rPr>
                <w:b/>
                <w:color w:val="FFFFFF"/>
                <w:sz w:val="17"/>
              </w:rPr>
              <w:t>Effect</w:t>
            </w:r>
          </w:p>
        </w:tc>
        <w:tc>
          <w:tcPr>
            <w:tcW w:type="dxa" w:w="4989"/>
            <w:shd w:val="clear" w:color="auto" w:fill="1A1A1A"/>
          </w:tcPr>
          <w:p>
            <w:pPr>
              <w:keepNext/>
            </w:pPr>
            <w:r/>
            <w:r>
              <w:rPr>
                <w:b/>
                <w:color w:val="FFFFFF"/>
                <w:sz w:val="17"/>
              </w:rPr>
              <w:t>How JCE will manage it</w:t>
            </w:r>
          </w:p>
        </w:tc>
      </w:tr>
      <w:tr>
        <w:trPr>
          <w:cantSplit/>
        </w:trPr>
        <w:tc>
          <w:tcPr>
            <w:tcW w:type="dxa" w:w="2608"/>
          </w:tcPr>
          <w:p>
            <w:pPr>
              <w:keepNext/>
            </w:pPr>
            <w:r/>
            <w:r>
              <w:rPr>
                <w:sz w:val="17"/>
              </w:rPr>
              <w:t>Little current bathymetry, survey or geotechnical data for the site</w:t>
            </w:r>
          </w:p>
        </w:tc>
        <w:tc>
          <w:tcPr>
            <w:tcW w:type="dxa" w:w="2041"/>
          </w:tcPr>
          <w:p>
            <w:pPr>
              <w:keepNext/>
            </w:pPr>
            <w:r/>
            <w:r>
              <w:rPr>
                <w:sz w:val="17"/>
              </w:rPr>
              <w:t>Marine depths, dredging and piling advice is less certain</w:t>
            </w:r>
          </w:p>
        </w:tc>
        <w:tc>
          <w:tcPr>
            <w:tcW w:type="dxa" w:w="4989"/>
          </w:tcPr>
          <w:p>
            <w:pPr>
              <w:keepNext/>
            </w:pPr>
            <w:r/>
            <w:r>
              <w:rPr>
                <w:sz w:val="17"/>
              </w:rPr>
              <w:t>Data request at inception (RFI 1); desktop assessment states its confidence; next-stage investigations scoped and costed in the report</w:t>
            </w:r>
          </w:p>
        </w:tc>
      </w:tr>
      <w:tr>
        <w:trPr>
          <w:cantSplit/>
        </w:trPr>
        <w:tc>
          <w:tcPr>
            <w:tcW w:type="dxa" w:w="2608"/>
          </w:tcPr>
          <w:p>
            <w:pPr>
              <w:keepNext/>
            </w:pPr>
            <w:r/>
            <w:r>
              <w:rPr>
                <w:sz w:val="17"/>
              </w:rPr>
              <w:t>Dickson Inlet mapped as a regional biodiversity corridor; marine plants and marine park zoning</w:t>
            </w:r>
          </w:p>
        </w:tc>
        <w:tc>
          <w:tcPr>
            <w:tcW w:type="dxa" w:w="2041"/>
          </w:tcPr>
          <w:p>
            <w:pPr>
              <w:keepNext/>
            </w:pPr>
            <w:r/>
            <w:r>
              <w:rPr>
                <w:sz w:val="17"/>
              </w:rPr>
              <w:t>Approvals risk and longer timeframes</w:t>
            </w:r>
          </w:p>
        </w:tc>
        <w:tc>
          <w:tcPr>
            <w:tcW w:type="dxa" w:w="4989"/>
          </w:tcPr>
          <w:p>
            <w:pPr>
              <w:keepNext/>
            </w:pPr>
            <w:r/>
            <w:r>
              <w:rPr>
                <w:sz w:val="17"/>
              </w:rPr>
              <w:t>Ecology and planning inputs start in Stage 1; constraints mapped before the concepts; approvals pathway tested with the State agencies Council nominates</w:t>
            </w:r>
          </w:p>
        </w:tc>
      </w:tr>
      <w:tr>
        <w:trPr>
          <w:cantSplit/>
        </w:trPr>
        <w:tc>
          <w:tcPr>
            <w:tcW w:type="dxa" w:w="2608"/>
          </w:tcPr>
          <w:p>
            <w:pPr>
              <w:keepNext/>
            </w:pPr>
            <w:r/>
            <w:r>
              <w:rPr>
                <w:sz w:val="17"/>
              </w:rPr>
              <w:t>Overlap or competition with the Cairns Marine Precinct and the Common User Facility</w:t>
            </w:r>
          </w:p>
        </w:tc>
        <w:tc>
          <w:tcPr>
            <w:tcW w:type="dxa" w:w="2041"/>
          </w:tcPr>
          <w:p>
            <w:pPr>
              <w:keepNext/>
            </w:pPr>
            <w:r/>
            <w:r>
              <w:rPr>
                <w:sz w:val="17"/>
              </w:rPr>
              <w:t>Weak grant case</w:t>
            </w:r>
          </w:p>
        </w:tc>
        <w:tc>
          <w:tcPr>
            <w:tcW w:type="dxa" w:w="4989"/>
          </w:tcPr>
          <w:p>
            <w:pPr>
              <w:keepNext/>
            </w:pPr>
            <w:r/>
            <w:r>
              <w:rPr>
                <w:sz w:val="17"/>
              </w:rPr>
              <w:t>Gap analysis by vessel class and service type; engagement with Cairns operators and Ports North where Council arranges it</w:t>
            </w:r>
          </w:p>
        </w:tc>
      </w:tr>
      <w:tr>
        <w:trPr>
          <w:cantSplit/>
        </w:trPr>
        <w:tc>
          <w:tcPr>
            <w:tcW w:type="dxa" w:w="2608"/>
          </w:tcPr>
          <w:p>
            <w:pPr>
              <w:keepNext/>
            </w:pPr>
            <w:r/>
            <w:r>
              <w:rPr>
                <w:sz w:val="17"/>
              </w:rPr>
              <w:t>Wet season and Christmas period</w:t>
            </w:r>
          </w:p>
        </w:tc>
        <w:tc>
          <w:tcPr>
            <w:tcW w:type="dxa" w:w="2041"/>
          </w:tcPr>
          <w:p>
            <w:pPr>
              <w:keepNext/>
            </w:pPr>
            <w:r/>
            <w:r>
              <w:rPr>
                <w:sz w:val="17"/>
              </w:rPr>
              <w:t>Lost engagement time</w:t>
            </w:r>
          </w:p>
        </w:tc>
        <w:tc>
          <w:tcPr>
            <w:tcW w:type="dxa" w:w="4989"/>
          </w:tcPr>
          <w:p>
            <w:pPr>
              <w:keepNext/>
            </w:pPr>
            <w:r/>
            <w:r>
              <w:rPr>
                <w:sz w:val="17"/>
              </w:rPr>
              <w:t>No engagement events 21/12/2026 to 08/01/2027; interviews from early December; online options</w:t>
            </w:r>
          </w:p>
        </w:tc>
      </w:tr>
      <w:tr>
        <w:trPr>
          <w:cantSplit/>
        </w:trPr>
        <w:tc>
          <w:tcPr>
            <w:tcW w:type="dxa" w:w="2608"/>
          </w:tcPr>
          <w:p>
            <w:pPr>
              <w:keepNext/>
            </w:pPr>
            <w:r/>
            <w:r>
              <w:rPr>
                <w:sz w:val="17"/>
              </w:rPr>
              <w:t>Stakeholder availability</w:t>
            </w:r>
          </w:p>
        </w:tc>
        <w:tc>
          <w:tcPr>
            <w:tcW w:type="dxa" w:w="2041"/>
          </w:tcPr>
          <w:p>
            <w:pPr>
              <w:keepNext/>
            </w:pPr>
            <w:r/>
            <w:r>
              <w:rPr>
                <w:sz w:val="17"/>
              </w:rPr>
              <w:t>Thin consultation record</w:t>
            </w:r>
          </w:p>
        </w:tc>
        <w:tc>
          <w:tcPr>
            <w:tcW w:type="dxa" w:w="4989"/>
          </w:tcPr>
          <w:p>
            <w:pPr>
              <w:keepNext/>
            </w:pPr>
            <w:r/>
            <w:r>
              <w:rPr>
                <w:sz w:val="17"/>
              </w:rPr>
              <w:t>Council-facilitated invitations; interviews offered online and in person; a short written survey for those unable to attend</w:t>
            </w:r>
          </w:p>
        </w:tc>
      </w:tr>
      <w:tr>
        <w:trPr>
          <w:cantSplit/>
        </w:trPr>
        <w:tc>
          <w:tcPr>
            <w:tcW w:type="dxa" w:w="2608"/>
          </w:tcPr>
          <w:p>
            <w:pPr>
              <w:keepNext/>
            </w:pPr>
            <w:r/>
            <w:r>
              <w:rPr>
                <w:sz w:val="17"/>
              </w:rPr>
              <w:t>Specialist inputs late or not coordinated</w:t>
            </w:r>
          </w:p>
        </w:tc>
        <w:tc>
          <w:tcPr>
            <w:tcW w:type="dxa" w:w="2041"/>
          </w:tcPr>
          <w:p>
            <w:pPr>
              <w:keepNext/>
            </w:pPr>
            <w:r/>
            <w:r>
              <w:rPr>
                <w:sz w:val="17"/>
              </w:rPr>
              <w:t>Program slippage at HP2 and HP3</w:t>
            </w:r>
          </w:p>
        </w:tc>
        <w:tc>
          <w:tcPr>
            <w:tcW w:type="dxa" w:w="4989"/>
          </w:tcPr>
          <w:p>
            <w:pPr>
              <w:keepNext/>
            </w:pPr>
            <w:r/>
            <w:r>
              <w:rPr>
                <w:sz w:val="17"/>
              </w:rPr>
              <w:t>Written interface notes, fortnightly coordination, review before issue, float before the Draft Report</w:t>
            </w:r>
          </w:p>
        </w:tc>
      </w:tr>
      <w:tr>
        <w:trPr>
          <w:cantSplit/>
        </w:trPr>
        <w:tc>
          <w:tcPr>
            <w:tcW w:type="dxa" w:w="2608"/>
          </w:tcPr>
          <w:p>
            <w:r/>
            <w:r>
              <w:rPr>
                <w:sz w:val="17"/>
              </w:rPr>
              <w:t>Cost estimates that funders will not accept</w:t>
            </w:r>
          </w:p>
        </w:tc>
        <w:tc>
          <w:tcPr>
            <w:tcW w:type="dxa" w:w="2041"/>
          </w:tcPr>
          <w:p>
            <w:r/>
            <w:r>
              <w:rPr>
                <w:sz w:val="17"/>
              </w:rPr>
              <w:t>Grant applications delayed</w:t>
            </w:r>
          </w:p>
        </w:tc>
        <w:tc>
          <w:tcPr>
            <w:tcW w:type="dxa" w:w="4989"/>
          </w:tcPr>
          <w:p>
            <w:r/>
            <w:r>
              <w:rPr>
                <w:sz w:val="17"/>
              </w:rPr>
              <w:t>Independent quantity surveyor; basis of estimate and contingency stated; Queensland Treasury guidance referenced</w:t>
            </w:r>
          </w:p>
        </w:tc>
      </w:tr>
    </w:tbl>
    <w:p>
      <w:pPr>
        <w:spacing w:after="40"/>
      </w:pPr>
    </w:p>
    <w:p>
      <w:pPr>
        <w:pStyle w:val="Heading2"/>
      </w:pPr>
      <w:r>
        <w:t>Non-conformance management</w:t>
      </w:r>
    </w:p>
    <w:p>
      <w:pPr>
        <w:keepNext w:val="0"/>
      </w:pPr>
      <w:r>
        <w:rPr>
          <w:i w:val="0"/>
        </w:rPr>
        <w:t>Each deliverable is checked against the Scope minimum content list before issue. Errors or omissions found by JCE or Council are logged in the comments register with the action, the person responsible and the close-out date, and corrected at JCE's cost. JCE's documented quality system (JCE-QMS-POL-001) applies to all partners.</w:t>
      </w:r>
    </w:p>
    <w:p>
      <w:pPr>
        <w:pStyle w:val="Heading2"/>
      </w:pPr>
      <w:r>
        <w:t>Working with Council's staff and other suppliers</w:t>
      </w:r>
    </w:p>
    <w:p>
      <w:pPr>
        <w:keepNext w:val="0"/>
      </w:pPr>
      <w:r>
        <w:rPr>
          <w:i w:val="0"/>
        </w:rPr>
        <w:t>Jayden Callen is the single point of contact. JCE will hold fortnightly online progress meetings with Council's Representative, acknowledge Council requests within one business day, and provide monthly progress reports, accruals and forecasts. JCE will work with Council's technical consultants and legal and probity advisers, and with the teams on adjacent projects, through Council's Representative.</w:t>
      </w:r>
    </w:p>
    <w:p>
      <w:pPr>
        <w:pStyle w:val="Heading1"/>
      </w:pPr>
      <w:r>
        <w:t>5.  Deliverables</w:t>
      </w:r>
    </w:p>
    <w:p>
      <w:pPr>
        <w:pStyle w:val="ListBullet"/>
      </w:pPr>
      <w:r>
        <w:t>Activity Plan and Program: one month from contract award (08/12/2026 on the assumed award date)</w:t>
      </w:r>
    </w:p>
    <w:p>
      <w:pPr>
        <w:pStyle w:val="ListBullet"/>
      </w:pPr>
      <w:r>
        <w:t>Draft Scoping Report (PDF and Word): end of February 2027 (26/02/2027)</w:t>
      </w:r>
    </w:p>
    <w:p>
      <w:pPr>
        <w:pStyle w:val="ListBullet"/>
      </w:pPr>
      <w:r>
        <w:t>Final Scoping Report (PDF and Word) with master plan drawings and figures (PDF, with CAD and GIS files): end of April 2027 (30/04/2027)</w:t>
      </w:r>
    </w:p>
    <w:p>
      <w:pPr>
        <w:pStyle w:val="ListBullet"/>
      </w:pPr>
      <w:r>
        <w:t>Presentation to a Council meeting: May 2027</w:t>
      </w:r>
    </w:p>
    <w:p>
      <w:pPr>
        <w:pStyle w:val="ListBullet"/>
      </w:pPr>
      <w:r>
        <w:t>Monthly progress reports, invoice records and accruals forecasts as required by the Contract</w:t>
      </w:r>
    </w:p>
    <w:p>
      <w:pPr>
        <w:pStyle w:val="Heading1"/>
      </w:pPr>
      <w:r>
        <w:t>6.  Program</w:t>
      </w:r>
    </w:p>
    <w:p>
      <w:pPr>
        <w:keepNext w:val="0"/>
      </w:pPr>
      <w:r>
        <w:rPr>
          <w:i w:val="0"/>
        </w:rPr>
        <w:t>The program assumes contract award by 09/11/2026 (Council's expected decision date is 05/11/2026) and allows for the Christmas shutdown and the wet season. It meets every milestone date in the Scope.</w:t>
      </w:r>
    </w:p>
    <w:p>
      <w:r>
        <w:drawing>
          <wp:inline xmlns:a="http://schemas.openxmlformats.org/drawingml/2006/main" xmlns:pic="http://schemas.openxmlformats.org/drawingml/2006/picture">
            <wp:extent cx="6120000" cy="2815200"/>
            <wp:docPr id="1" name="Picture 1"/>
            <wp:cNvGraphicFramePr>
              <a:graphicFrameLocks noChangeAspect="1"/>
            </wp:cNvGraphicFramePr>
            <a:graphic>
              <a:graphicData uri="http://schemas.openxmlformats.org/drawingml/2006/picture">
                <pic:pic>
                  <pic:nvPicPr>
                    <pic:cNvPr id="0" name="gantt_vp527224.png"/>
                    <pic:cNvPicPr/>
                  </pic:nvPicPr>
                  <pic:blipFill>
                    <a:blip r:embed="rId10"/>
                    <a:stretch>
                      <a:fillRect/>
                    </a:stretch>
                  </pic:blipFill>
                  <pic:spPr>
                    <a:xfrm>
                      <a:off x="0" y="0"/>
                      <a:ext cx="6120000" cy="2815200"/>
                    </a:xfrm>
                    <a:prstGeom prst="rect"/>
                  </pic:spPr>
                </pic:pic>
              </a:graphicData>
            </a:graphic>
          </wp:inline>
        </w:drawing>
      </w:r>
    </w:p>
    <w:p>
      <w:pPr>
        <w:pStyle w:val="ListBullet"/>
      </w:pPr>
      <w:r>
        <w:t>Inception meeting and site visit 1, Port Douglas and Mossman: week of 23/11/2026</w:t>
      </w:r>
    </w:p>
    <w:p>
      <w:pPr>
        <w:pStyle w:val="ListBullet"/>
      </w:pPr>
      <w:r>
        <w:t>HP1 Activity Plan and Program: 08/12/2026</w:t>
      </w:r>
    </w:p>
    <w:p>
      <w:pPr>
        <w:pStyle w:val="ListBullet"/>
      </w:pPr>
      <w:r>
        <w:t>Research, market and economic analysis: November 2026 to January 2027</w:t>
      </w:r>
    </w:p>
    <w:p>
      <w:pPr>
        <w:pStyle w:val="ListBullet"/>
      </w:pPr>
      <w:r>
        <w:t>Stakeholder interviews and industry workshop: December 2026 to early February 2027 (no engagement 21/12/2026 to 08/01/2027)</w:t>
      </w:r>
    </w:p>
    <w:p>
      <w:pPr>
        <w:pStyle w:val="ListBullet"/>
      </w:pPr>
      <w:r>
        <w:t>Three concept plans and online options workshop; HP2 preferred concept: late January 2027</w:t>
      </w:r>
    </w:p>
    <w:p>
      <w:pPr>
        <w:pStyle w:val="ListBullet"/>
      </w:pPr>
      <w:r>
        <w:t>Preferred master plan, approvals, delivery, risk and cost analysis: February 2027</w:t>
      </w:r>
    </w:p>
    <w:p>
      <w:pPr>
        <w:pStyle w:val="ListBullet"/>
      </w:pPr>
      <w:r>
        <w:t>HP3 Draft Scoping Report: 26/02/2027; Council and stakeholder review: March 2027</w:t>
      </w:r>
    </w:p>
    <w:p>
      <w:pPr>
        <w:pStyle w:val="ListBullet"/>
      </w:pPr>
      <w:r>
        <w:t>HP4 Final Scoping Report: 30/04/2027</w:t>
      </w:r>
    </w:p>
    <w:p>
      <w:pPr>
        <w:pStyle w:val="ListBullet"/>
      </w:pPr>
      <w:r>
        <w:t>Presentation to the Council meeting: May 2027 (date to suit Council's meeting calendar)</w:t>
      </w:r>
    </w:p>
    <w:p>
      <w:pPr>
        <w:pStyle w:val="Heading1"/>
      </w:pPr>
      <w:r>
        <w:t>7.  Team and experience</w:t>
      </w:r>
    </w:p>
    <w:p>
      <w:pPr>
        <w:keepNext w:val="0"/>
      </w:pPr>
      <w:r>
        <w:rPr>
          <w:i w:val="0"/>
        </w:rPr>
        <w:t>Jayden Callen, Director, JCE Infrastructure. BEng (Hons) Civil, MIEAust (EA 11036201), National Engineering Register application in progress. Supplier's Representative, project lead and single point of contact. Civil engineer with more than eight years of experience across land development, stormwater and flooding, water and sewerage, roads, and Defence infrastructure delivery with tier-one contractors. CV attached (Schedule F1). Jayden has delivered drone photogrammetry on previous projects, planning automated flight paths in DroneDeploy, capturing with RTK positioning, and processing in Autodesk ReCap Pro to build point clouds and terrain surfaces for use in Autodesk InfraWorks and civil design models.</w:t>
      </w:r>
    </w:p>
    <w:p>
      <w:pPr>
        <w:pStyle w:val="ListBullet"/>
      </w:pPr>
      <w:r>
        <w:rPr>
          <w:b/>
        </w:rPr>
        <w:t xml:space="preserve">Civil Design Manager, Langtree Consulting Engineers, Townsville (03/2025 to 05/2026). </w:t>
      </w:r>
      <w:r>
        <w:t>Managed four civil designers and concurrent 50 to 100 lot subdivisions; coordinated flood modelling, electrical and hydraulic subconsultants into joint design packages; prepared engineer's estimates and bills of quantities; chaired client and stakeholder meetings. Included the DATSIP subdivisions at Aurukun, Pormpuraaw and Napranum.</w:t>
      </w:r>
    </w:p>
    <w:p>
      <w:pPr>
        <w:pStyle w:val="ListBullet"/>
      </w:pPr>
      <w:r>
        <w:rPr>
          <w:b/>
        </w:rPr>
        <w:t xml:space="preserve">Senior Engineer and Design Manager, SCP Consulting (06/2023 to 03/2025). </w:t>
      </w:r>
      <w:r>
        <w:t>Managed a multidisciplinary design team and external subconsultants; contractor point of contact for Lendlease and CPB Contractors on Defence projects at HMAS Watson, RAAF Base Tindal, RAAF Base Townsville and HMAS Cairns; 12-month site engineer secondment to CPB, including about 10 km of potable and fire water mains at RAAF Base Townsville.</w:t>
      </w:r>
    </w:p>
    <w:p>
      <w:pPr>
        <w:pStyle w:val="ListBullet"/>
      </w:pPr>
      <w:r>
        <w:rPr>
          <w:b/>
        </w:rPr>
        <w:t xml:space="preserve">Lead BIM services coordinator, AIR7000 Phase 1B MQ-4C Triton Facilities, RAAF Base Tindal (about $250 million). </w:t>
      </w:r>
      <w:r>
        <w:t>Combined external consultant models to deconflict stormwater and fire mains.</w:t>
      </w:r>
    </w:p>
    <w:p>
      <w:pPr>
        <w:pStyle w:val="ListBullet"/>
      </w:pPr>
      <w:r>
        <w:rPr>
          <w:b/>
        </w:rPr>
        <w:t xml:space="preserve">Katherine Aquatics, Katherine NT (about $10 million, design and construct for Sitzler and Katherine Town Council). </w:t>
      </w:r>
      <w:r>
        <w:t>About 80 per cent of the civil design, including earthworks pads raised above the 1% AEP flood level, pavements, stormwater and water quality.</w:t>
      </w:r>
    </w:p>
    <w:p>
      <w:pPr>
        <w:pStyle w:val="ListBullet"/>
      </w:pPr>
      <w:r>
        <w:rPr>
          <w:b/>
        </w:rPr>
        <w:t xml:space="preserve">JCE, Western Sydney International Airport Business Precinct Stage One (2026). </w:t>
      </w:r>
      <w:r>
        <w:t>Managed the design program for the SRM-01 sewer rising main and the technical review of the contractor's sewage pumping station package.</w:t>
      </w:r>
    </w:p>
    <w:p>
      <w:pPr>
        <w:pStyle w:val="Heading2"/>
      </w:pPr>
      <w:r>
        <w:t>Resources and equipment</w:t>
      </w:r>
    </w:p>
    <w:p>
      <w:pPr>
        <w:keepNext w:val="0"/>
      </w:pPr>
      <w:r>
        <w:rPr>
          <w:i w:val="0"/>
        </w:rPr>
        <w:t>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CASA operator accreditation and drone registration will be in place before services start. JCE will deploy a DJI Mavic 3 Enterprise with RTK on this study. The workflow is flight planning in DroneDeploy (or DJI Pilot 2 or DJI FlightHub), capture with RTK corrections from the AUSCORS network or a local base station, ground control and independent check points to verify accuracy, processing in Autodesk ReCap Pro for point clouds and surfaces, design integration in Autodesk InfraWorks and Civil 3D, and QGIS for GIS delivery; the orthophoto is produced in ReCap Pro or DJI Terra.</w:t>
      </w:r>
    </w:p>
    <w:p>
      <w:pPr>
        <w:keepNext w:val="0"/>
      </w:pPr>
      <w:r>
        <w:rPr>
          <w:i w:val="0"/>
        </w:rPr>
        <w:t>Airspace limits for this site. Port Douglas is about 60 km from Cairns Airport, well outside the 5.5 km limit around a controlled aerodrome, so flights will stay at or below 120 m above ground in uncontrolled airspace, in daylight and within visual line of sight. The site is close to helicopter landing sites on Dickson Inlet, including the Nautilus Aviation base under construction at Port Street (expected to open in 2027), so each flight will be planned on a CASA-verified drone safety app, kept clear of helicopter approach and departure paths and coordinated with the operator, and kept at least 30 m from people and away from the marinas, boat ramp and other populous areas while they are in use.</w:t>
      </w:r>
    </w:p>
    <w:p>
      <w:pPr>
        <w:keepNext w:val="0"/>
      </w:pPr>
      <w:r>
        <w:rPr>
          <w:i w:val="0"/>
        </w:rPr>
        <w:t>Relevant experience (criterion 2, 20%). Marine, maritime, environmental, planning and geotechnical experience for this study comes from the specialist partners, whose projects, staff and referees will be listed in Schedules E2, F1 and F2 once confirmed [TBC - Jayden: partner projects and referees after quotes]. Jayden's experience is in leading multidisciplinary infrastructure work, civil infrastructure and costing, including at HMAS Cairns and in remote North Queensland communities.</w:t>
      </w:r>
    </w:p>
    <w:p>
      <w:pPr>
        <w:keepNext w:val="0"/>
      </w:pPr>
      <w:r>
        <w:rPr>
          <w:i w:val="0"/>
        </w:rPr>
        <w:t>Referees: Brett Langtree, Director and Principal Civil Engineer, Langtree Consulting Engineers, 0400 699 979, brett@langtreeconsulting.com.au; Livio Chiarot FIEAust, Director, SCP Consulting, 0418 150 028, livio.chiarot@scpconsult.com.au. Far North Queensland council referee: available on request.</w:t>
      </w:r>
    </w:p>
    <w:p>
      <w:pPr>
        <w:pStyle w:val="Heading1"/>
      </w:pPr>
      <w:r>
        <w:t>8.  Exclusions</w:t>
      </w:r>
    </w:p>
    <w:p>
      <w:pPr>
        <w:keepNext/>
      </w:pPr>
      <w:r>
        <w:rPr>
          <w:i w:val="0"/>
        </w:rPr>
        <w:t>Any service, deliverable, approval, investigation, meeting or site attendance not identified as included is excluded. The following are excluded and can be quoted on request:</w:t>
      </w:r>
    </w:p>
    <w:p>
      <w:pPr>
        <w:pStyle w:val="ListBullet"/>
      </w:pPr>
      <w:r>
        <w:t>Field investigations: detail or hydrographic survey, bathymetry, geotechnical drilling or testing, contamination or sediment sampling, and ecological field surveys beyond a site walkover</w:t>
      </w:r>
    </w:p>
    <w:p>
      <w:pPr>
        <w:pStyle w:val="ListBullet"/>
      </w:pPr>
      <w:r>
        <w:t>Numerical coastal, hydrodynamic, sediment transport or flood modelling</w:t>
      </w:r>
    </w:p>
    <w:p>
      <w:pPr>
        <w:pStyle w:val="ListBullet"/>
      </w:pPr>
      <w:r>
        <w:t>Detailed design, approvals documentation and lodgement of applications</w:t>
      </w:r>
    </w:p>
    <w:p>
      <w:pPr>
        <w:pStyle w:val="ListBullet"/>
      </w:pPr>
      <w:r>
        <w:t>Business cases to Queensland Treasury or Infrastructure Australia standard, and cost-benefit analysis beyond the economic benefits assessment in the Scope</w:t>
      </w:r>
    </w:p>
    <w:p>
      <w:pPr>
        <w:pStyle w:val="ListBullet"/>
      </w:pPr>
      <w:r>
        <w:t>Venues, catering, advertising or a community-wide survey platform for engagement (assumed to be provided by Council)</w:t>
      </w:r>
    </w:p>
    <w:p>
      <w:pPr>
        <w:pStyle w:val="ListBullet"/>
      </w:pPr>
      <w:r>
        <w:t>Site visits and in-person meetings beyond those listed in Section 9</w:t>
      </w:r>
    </w:p>
    <w:p>
      <w:pPr>
        <w:pStyle w:val="ListBullet"/>
      </w:pPr>
      <w:r>
        <w:t>Procurement advice and procurement documentation (see Section 14)</w:t>
      </w:r>
    </w:p>
    <w:p>
      <w:pPr>
        <w:pStyle w:val="Heading1"/>
      </w:pPr>
      <w:r>
        <w:t>9.  Assumptions and information required from Council</w:t>
      </w:r>
    </w:p>
    <w:p>
      <w:pPr>
        <w:pStyle w:val="Heading3"/>
      </w:pPr>
      <w:r>
        <w:t>Information required from Council</w:t>
      </w:r>
    </w:p>
    <w:p>
      <w:pPr>
        <w:pStyle w:val="ListBullet"/>
      </w:pPr>
      <w:r>
        <w:t>Lot and plan, tenure and current leases or licences for the site and the boat ramp area</w:t>
      </w:r>
    </w:p>
    <w:p>
      <w:pPr>
        <w:pStyle w:val="ListBullet"/>
      </w:pPr>
      <w:r>
        <w:t>Previous studies and reports, including the 2019 Waterfront South master plan and supporting studies</w:t>
      </w:r>
    </w:p>
    <w:p>
      <w:pPr>
        <w:pStyle w:val="ListBullet"/>
      </w:pPr>
      <w:r>
        <w:t>Existing survey, bathymetry, geotechnical, storm tide, flood or coastal hazard data held by Council</w:t>
      </w:r>
    </w:p>
    <w:p>
      <w:pPr>
        <w:pStyle w:val="ListBullet"/>
      </w:pPr>
      <w:r>
        <w:t>Stakeholder contact lists, and Council facilitation of engagement (invitations, venues and scheduling)</w:t>
      </w:r>
    </w:p>
    <w:p>
      <w:pPr>
        <w:pStyle w:val="ListBullet"/>
      </w:pPr>
      <w:r>
        <w:t>Council infrastructure records (water, sewer, stormwater and roads) in GIS format</w:t>
      </w:r>
    </w:p>
    <w:p>
      <w:pPr>
        <w:pStyle w:val="Heading3"/>
      </w:pPr>
      <w:r>
        <w:t>Assumptions</w:t>
      </w:r>
    </w:p>
    <w:p>
      <w:pPr>
        <w:pStyle w:val="ListBullet"/>
      </w:pPr>
      <w:r>
        <w:t>The site is the area of about 3 ha described in the RFQ; site selection and alternative sites are not part of the study</w:t>
      </w:r>
    </w:p>
    <w:p>
      <w:pPr>
        <w:pStyle w:val="ListBullet"/>
      </w:pPr>
      <w:r>
        <w:t>Two Port Douglas visits by JCE are included: inception and site visit 1 (3 days) and the May 2027 Council presentation (2 days); all other JCE meetings are online. The industry workshop and in-person interviews are led by the engagement partner</w:t>
      </w:r>
    </w:p>
    <w:p>
      <w:pPr>
        <w:pStyle w:val="ListBullet"/>
      </w:pPr>
      <w:r>
        <w:t>Fortnightly online progress meetings with Council (14 meetings)</w:t>
      </w:r>
    </w:p>
    <w:p>
      <w:pPr>
        <w:pStyle w:val="ListBullet"/>
      </w:pPr>
      <w:r>
        <w:t>One round of consolidated Council and stakeholder comments on the Draft Scoping Report</w:t>
      </w:r>
    </w:p>
    <w:p>
      <w:pPr>
        <w:pStyle w:val="ListBullet"/>
      </w:pPr>
      <w:r>
        <w:t>The cost analysis is an order-of-magnitude (strategic) estimate for planning, budgeting and grant applications, based on benchmark rates from recent similar projects</w:t>
      </w:r>
    </w:p>
    <w:p>
      <w:pPr>
        <w:pStyle w:val="Heading1"/>
      </w:pPr>
      <w:r>
        <w:t>10.  Fee schedule</w:t>
      </w:r>
    </w:p>
    <w:p>
      <w:pPr>
        <w:keepNext/>
      </w:pPr>
      <w:r>
        <w:rPr>
          <w:i w:val="0"/>
        </w:rPr>
        <w:t>The fee is a lump sum in AUD, exclusive of GST, and includes travel and expenses for the visits in Section 9. JCE's own services are fixed. The specialist inputs are shown as provisional sums (PS) until sub-consultant quotes are received on 15/10/2026; they will be replaced by quoted amounts and the lodged price will be a single lump sum [TBC - Jayden: update PS1 to PS8 from quotes and confirm the lump sum before lodgement].</w:t>
      </w:r>
    </w:p>
    <w:tbl>
      <w:tblPr>
        <w:tblStyle w:val="TableGrid"/>
        <w:tblW w:type="auto" w:w="0"/>
        <w:jc w:val="center"/>
        <w:tblLayout w:type="fixed"/>
        <w:tblLook w:firstColumn="1" w:firstRow="1" w:lastColumn="0" w:lastRow="0" w:noHBand="0" w:noVBand="1" w:val="04A0"/>
        <w:tblLayout w:type="fixed"/>
      </w:tblPr>
      <w:tblGrid>
        <w:gridCol w:w="794"/>
        <w:gridCol w:w="6860"/>
        <w:gridCol w:w="1984"/>
      </w:tblGrid>
      <w:tr>
        <w:trPr>
          <w:tblHeader/>
          <w:cantSplit/>
        </w:trPr>
        <w:tc>
          <w:tcPr>
            <w:tcW w:type="dxa" w:w="794"/>
            <w:shd w:val="clear" w:color="auto" w:fill="1A1A1A"/>
          </w:tcPr>
          <w:p>
            <w:pPr>
              <w:keepNext/>
            </w:pPr>
            <w:r/>
            <w:r>
              <w:rPr>
                <w:b/>
                <w:color w:val="FFFFFF"/>
                <w:sz w:val="17"/>
              </w:rPr>
              <w:t>Item</w:t>
            </w:r>
          </w:p>
        </w:tc>
        <w:tc>
          <w:tcPr>
            <w:tcW w:type="dxa" w:w="6860"/>
            <w:shd w:val="clear" w:color="auto" w:fill="1A1A1A"/>
          </w:tcPr>
          <w:p>
            <w:pPr>
              <w:keepNext/>
            </w:pPr>
            <w:r/>
            <w:r>
              <w:rPr>
                <w:b/>
                <w:color w:val="FFFFFF"/>
                <w:sz w:val="17"/>
              </w:rPr>
              <w:t>JCE services</w:t>
            </w:r>
          </w:p>
        </w:tc>
        <w:tc>
          <w:tcPr>
            <w:tcW w:type="dxa" w:w="1984"/>
            <w:shd w:val="clear" w:color="auto" w:fill="1A1A1A"/>
          </w:tcPr>
          <w:p>
            <w:pPr>
              <w:keepNext/>
            </w:pPr>
            <w:r/>
            <w:r>
              <w:rPr>
                <w:b/>
                <w:color w:val="FFFFFF"/>
                <w:sz w:val="17"/>
              </w:rPr>
              <w:t>Fee (excl. GST)</w:t>
            </w:r>
          </w:p>
        </w:tc>
      </w:tr>
      <w:tr>
        <w:trPr>
          <w:cantSplit/>
        </w:trPr>
        <w:tc>
          <w:tcPr>
            <w:tcW w:type="dxa" w:w="794"/>
          </w:tcPr>
          <w:p>
            <w:pPr>
              <w:keepNext/>
            </w:pPr>
            <w:r/>
            <w:r>
              <w:rPr>
                <w:sz w:val="17"/>
              </w:rPr>
              <w:t>S1</w:t>
            </w:r>
          </w:p>
        </w:tc>
        <w:tc>
          <w:tcPr>
            <w:tcW w:type="dxa" w:w="6860"/>
          </w:tcPr>
          <w:p>
            <w:pPr>
              <w:keepNext/>
            </w:pPr>
            <w:r/>
            <w:r>
              <w:rPr>
                <w:sz w:val="17"/>
              </w:rPr>
              <w:t>Inception, site visit, background review and Activity Plan and Program (JCE)</w:t>
            </w:r>
          </w:p>
        </w:tc>
        <w:tc>
          <w:tcPr>
            <w:tcW w:type="dxa" w:w="1984"/>
          </w:tcPr>
          <w:p>
            <w:pPr>
              <w:keepNext/>
              <w:jc w:val="right"/>
            </w:pPr>
            <w:r/>
            <w:r>
              <w:rPr>
                <w:sz w:val="17"/>
              </w:rPr>
              <w:t>$18,300.00</w:t>
            </w:r>
          </w:p>
        </w:tc>
      </w:tr>
      <w:tr>
        <w:trPr>
          <w:cantSplit/>
        </w:trPr>
        <w:tc>
          <w:tcPr>
            <w:tcW w:type="dxa" w:w="794"/>
          </w:tcPr>
          <w:p>
            <w:pPr>
              <w:keepNext/>
            </w:pPr>
            <w:r/>
            <w:r>
              <w:rPr>
                <w:sz w:val="17"/>
              </w:rPr>
              <w:t>S2</w:t>
            </w:r>
          </w:p>
        </w:tc>
        <w:tc>
          <w:tcPr>
            <w:tcW w:type="dxa" w:w="6860"/>
          </w:tcPr>
          <w:p>
            <w:pPr>
              <w:keepNext/>
            </w:pPr>
            <w:r/>
            <w:r>
              <w:rPr>
                <w:sz w:val="17"/>
              </w:rPr>
              <w:t>Marine industry research, market and economic analysis: infrastructure benchmarking and facility sizing (JCE)</w:t>
            </w:r>
          </w:p>
        </w:tc>
        <w:tc>
          <w:tcPr>
            <w:tcW w:type="dxa" w:w="1984"/>
          </w:tcPr>
          <w:p>
            <w:pPr>
              <w:keepNext/>
              <w:jc w:val="right"/>
            </w:pPr>
            <w:r/>
            <w:r>
              <w:rPr>
                <w:sz w:val="17"/>
              </w:rPr>
              <w:t>$5,300.00</w:t>
            </w:r>
          </w:p>
        </w:tc>
      </w:tr>
      <w:tr>
        <w:trPr>
          <w:cantSplit/>
        </w:trPr>
        <w:tc>
          <w:tcPr>
            <w:tcW w:type="dxa" w:w="794"/>
          </w:tcPr>
          <w:p>
            <w:pPr>
              <w:keepNext/>
            </w:pPr>
            <w:r/>
            <w:r>
              <w:rPr>
                <w:sz w:val="17"/>
              </w:rPr>
              <w:t>S3</w:t>
            </w:r>
          </w:p>
        </w:tc>
        <w:tc>
          <w:tcPr>
            <w:tcW w:type="dxa" w:w="6860"/>
          </w:tcPr>
          <w:p>
            <w:pPr>
              <w:keepNext/>
            </w:pPr>
            <w:r/>
            <w:r>
              <w:rPr>
                <w:sz w:val="17"/>
              </w:rPr>
              <w:t>Stakeholder engagement: participation in interviews and the industry workshop, review of the consultation record (JCE)</w:t>
            </w:r>
          </w:p>
        </w:tc>
        <w:tc>
          <w:tcPr>
            <w:tcW w:type="dxa" w:w="1984"/>
          </w:tcPr>
          <w:p>
            <w:pPr>
              <w:keepNext/>
              <w:jc w:val="right"/>
            </w:pPr>
            <w:r/>
            <w:r>
              <w:rPr>
                <w:sz w:val="17"/>
              </w:rPr>
              <w:t>$4,000.00</w:t>
            </w:r>
          </w:p>
        </w:tc>
      </w:tr>
      <w:tr>
        <w:trPr>
          <w:cantSplit/>
        </w:trPr>
        <w:tc>
          <w:tcPr>
            <w:tcW w:type="dxa" w:w="794"/>
          </w:tcPr>
          <w:p>
            <w:pPr>
              <w:keepNext/>
            </w:pPr>
            <w:r/>
            <w:r>
              <w:rPr>
                <w:sz w:val="17"/>
              </w:rPr>
              <w:t>S4</w:t>
            </w:r>
          </w:p>
        </w:tc>
        <w:tc>
          <w:tcPr>
            <w:tcW w:type="dxa" w:w="6860"/>
          </w:tcPr>
          <w:p>
            <w:pPr>
              <w:keepNext/>
            </w:pPr>
            <w:r/>
            <w:r>
              <w:rPr>
                <w:sz w:val="17"/>
              </w:rPr>
              <w:t>Three concept plans and the preferred master plan, enabling infrastructure, flooding and storm tide, staging (JCE)</w:t>
            </w:r>
          </w:p>
        </w:tc>
        <w:tc>
          <w:tcPr>
            <w:tcW w:type="dxa" w:w="1984"/>
          </w:tcPr>
          <w:p>
            <w:pPr>
              <w:keepNext/>
              <w:jc w:val="right"/>
            </w:pPr>
            <w:r/>
            <w:r>
              <w:rPr>
                <w:sz w:val="17"/>
              </w:rPr>
              <w:t>$37,100.00</w:t>
            </w:r>
          </w:p>
        </w:tc>
      </w:tr>
      <w:tr>
        <w:trPr>
          <w:cantSplit/>
        </w:trPr>
        <w:tc>
          <w:tcPr>
            <w:tcW w:type="dxa" w:w="794"/>
          </w:tcPr>
          <w:p>
            <w:pPr>
              <w:keepNext/>
            </w:pPr>
            <w:r/>
            <w:r>
              <w:rPr>
                <w:sz w:val="17"/>
              </w:rPr>
              <w:t>S5</w:t>
            </w:r>
          </w:p>
        </w:tc>
        <w:tc>
          <w:tcPr>
            <w:tcW w:type="dxa" w:w="6860"/>
          </w:tcPr>
          <w:p>
            <w:pPr>
              <w:keepNext/>
            </w:pPr>
            <w:r/>
            <w:r>
              <w:rPr>
                <w:sz w:val="17"/>
              </w:rPr>
              <w:t>Approvals coordination, delivery strategy, risk register, civil quantities and cost review (JCE)</w:t>
            </w:r>
          </w:p>
        </w:tc>
        <w:tc>
          <w:tcPr>
            <w:tcW w:type="dxa" w:w="1984"/>
          </w:tcPr>
          <w:p>
            <w:pPr>
              <w:keepNext/>
              <w:jc w:val="right"/>
            </w:pPr>
            <w:r/>
            <w:r>
              <w:rPr>
                <w:sz w:val="17"/>
              </w:rPr>
              <w:t>$9,700.00</w:t>
            </w:r>
          </w:p>
        </w:tc>
      </w:tr>
      <w:tr>
        <w:trPr>
          <w:cantSplit/>
        </w:trPr>
        <w:tc>
          <w:tcPr>
            <w:tcW w:type="dxa" w:w="794"/>
          </w:tcPr>
          <w:p>
            <w:pPr>
              <w:keepNext/>
            </w:pPr>
            <w:r/>
            <w:r>
              <w:rPr>
                <w:sz w:val="17"/>
              </w:rPr>
              <w:t>S6</w:t>
            </w:r>
          </w:p>
        </w:tc>
        <w:tc>
          <w:tcPr>
            <w:tcW w:type="dxa" w:w="6860"/>
          </w:tcPr>
          <w:p>
            <w:pPr>
              <w:keepNext/>
            </w:pPr>
            <w:r/>
            <w:r>
              <w:rPr>
                <w:sz w:val="17"/>
              </w:rPr>
              <w:t>Draft and Final Scoping Reports and grant-ready summary (JCE)</w:t>
            </w:r>
          </w:p>
        </w:tc>
        <w:tc>
          <w:tcPr>
            <w:tcW w:type="dxa" w:w="1984"/>
          </w:tcPr>
          <w:p>
            <w:pPr>
              <w:keepNext/>
              <w:jc w:val="right"/>
            </w:pPr>
            <w:r/>
            <w:r>
              <w:rPr>
                <w:sz w:val="17"/>
              </w:rPr>
              <w:t>$19,500.00</w:t>
            </w:r>
          </w:p>
        </w:tc>
      </w:tr>
      <w:tr>
        <w:trPr>
          <w:cantSplit/>
        </w:trPr>
        <w:tc>
          <w:tcPr>
            <w:tcW w:type="dxa" w:w="794"/>
          </w:tcPr>
          <w:p>
            <w:pPr>
              <w:keepNext/>
            </w:pPr>
            <w:r/>
            <w:r>
              <w:rPr>
                <w:sz w:val="17"/>
              </w:rPr>
              <w:t>S7</w:t>
            </w:r>
          </w:p>
        </w:tc>
        <w:tc>
          <w:tcPr>
            <w:tcW w:type="dxa" w:w="6860"/>
          </w:tcPr>
          <w:p>
            <w:pPr>
              <w:keepNext/>
            </w:pPr>
            <w:r/>
            <w:r>
              <w:rPr>
                <w:sz w:val="17"/>
              </w:rPr>
              <w:t>Presentation to the Council meeting, May 2027, in person (JCE)</w:t>
            </w:r>
          </w:p>
        </w:tc>
        <w:tc>
          <w:tcPr>
            <w:tcW w:type="dxa" w:w="1984"/>
          </w:tcPr>
          <w:p>
            <w:pPr>
              <w:keepNext/>
              <w:jc w:val="right"/>
            </w:pPr>
            <w:r/>
            <w:r>
              <w:rPr>
                <w:sz w:val="17"/>
              </w:rPr>
              <w:t>$7,800.00</w:t>
            </w:r>
          </w:p>
        </w:tc>
      </w:tr>
      <w:tr>
        <w:trPr>
          <w:cantSplit/>
        </w:trPr>
        <w:tc>
          <w:tcPr>
            <w:tcW w:type="dxa" w:w="794"/>
          </w:tcPr>
          <w:p>
            <w:pPr>
              <w:keepNext/>
            </w:pPr>
            <w:r/>
            <w:r>
              <w:rPr>
                <w:sz w:val="17"/>
              </w:rPr>
              <w:t>PM</w:t>
            </w:r>
          </w:p>
        </w:tc>
        <w:tc>
          <w:tcPr>
            <w:tcW w:type="dxa" w:w="6860"/>
          </w:tcPr>
          <w:p>
            <w:pPr>
              <w:keepNext/>
            </w:pPr>
            <w:r/>
            <w:r>
              <w:rPr>
                <w:sz w:val="17"/>
              </w:rPr>
              <w:t>Project management, fortnightly meetings, accruals, sub-consultant management and QA (JCE)</w:t>
            </w:r>
          </w:p>
        </w:tc>
        <w:tc>
          <w:tcPr>
            <w:tcW w:type="dxa" w:w="1984"/>
          </w:tcPr>
          <w:p>
            <w:pPr>
              <w:keepNext/>
              <w:jc w:val="right"/>
            </w:pPr>
            <w:r/>
            <w:r>
              <w:rPr>
                <w:sz w:val="17"/>
              </w:rPr>
              <w:t>$14,300.00</w:t>
            </w:r>
          </w:p>
        </w:tc>
      </w:tr>
      <w:tr>
        <w:trPr>
          <w:cantSplit/>
        </w:trPr>
        <w:tc>
          <w:tcPr>
            <w:tcW w:type="dxa" w:w="794"/>
            <w:shd w:val="clear" w:color="auto" w:fill="F3ECD3"/>
          </w:tcPr>
          <w:p>
            <w:r/>
            <w:r>
              <w:rPr>
                <w:b/>
                <w:sz w:val="17"/>
              </w:rPr>
            </w:r>
          </w:p>
        </w:tc>
        <w:tc>
          <w:tcPr>
            <w:tcW w:type="dxa" w:w="6860"/>
            <w:shd w:val="clear" w:color="auto" w:fill="F3ECD3"/>
          </w:tcPr>
          <w:p>
            <w:r/>
            <w:r>
              <w:rPr>
                <w:b/>
                <w:sz w:val="17"/>
              </w:rPr>
              <w:t>JCE services subtotal</w:t>
            </w:r>
          </w:p>
        </w:tc>
        <w:tc>
          <w:tcPr>
            <w:tcW w:type="dxa" w:w="1984"/>
            <w:shd w:val="clear" w:color="auto" w:fill="F3ECD3"/>
          </w:tcPr>
          <w:p>
            <w:pPr>
              <w:jc w:val="right"/>
            </w:pPr>
            <w:r/>
            <w:r>
              <w:rPr>
                <w:b/>
                <w:sz w:val="17"/>
              </w:rPr>
              <w:t>$116,000.00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794"/>
        <w:gridCol w:w="6860"/>
        <w:gridCol w:w="1984"/>
      </w:tblGrid>
      <w:tr>
        <w:trPr>
          <w:tblHeader/>
          <w:cantSplit/>
        </w:trPr>
        <w:tc>
          <w:tcPr>
            <w:tcW w:type="dxa" w:w="794"/>
            <w:shd w:val="clear" w:color="auto" w:fill="1A1A1A"/>
          </w:tcPr>
          <w:p>
            <w:pPr>
              <w:keepNext/>
            </w:pPr>
            <w:r/>
            <w:r>
              <w:rPr>
                <w:b/>
                <w:color w:val="FFFFFF"/>
                <w:sz w:val="17"/>
              </w:rPr>
              <w:t>Item</w:t>
            </w:r>
          </w:p>
        </w:tc>
        <w:tc>
          <w:tcPr>
            <w:tcW w:type="dxa" w:w="6860"/>
            <w:shd w:val="clear" w:color="auto" w:fill="1A1A1A"/>
          </w:tcPr>
          <w:p>
            <w:pPr>
              <w:keepNext/>
            </w:pPr>
            <w:r/>
            <w:r>
              <w:rPr>
                <w:b/>
                <w:color w:val="FFFFFF"/>
                <w:sz w:val="17"/>
              </w:rPr>
              <w:t>Specialist inputs (provisional sums)</w:t>
            </w:r>
          </w:p>
        </w:tc>
        <w:tc>
          <w:tcPr>
            <w:tcW w:type="dxa" w:w="1984"/>
            <w:shd w:val="clear" w:color="auto" w:fill="1A1A1A"/>
          </w:tcPr>
          <w:p>
            <w:pPr>
              <w:keepNext/>
            </w:pPr>
            <w:r/>
            <w:r>
              <w:rPr>
                <w:b/>
                <w:color w:val="FFFFFF"/>
                <w:sz w:val="17"/>
              </w:rPr>
              <w:t>Fee (excl. GST)</w:t>
            </w:r>
          </w:p>
        </w:tc>
      </w:tr>
      <w:tr>
        <w:trPr>
          <w:cantSplit/>
        </w:trPr>
        <w:tc>
          <w:tcPr>
            <w:tcW w:type="dxa" w:w="794"/>
          </w:tcPr>
          <w:p>
            <w:pPr>
              <w:keepNext/>
            </w:pPr>
            <w:r/>
            <w:r>
              <w:rPr>
                <w:sz w:val="17"/>
              </w:rPr>
              <w:t>PS1</w:t>
            </w:r>
          </w:p>
        </w:tc>
        <w:tc>
          <w:tcPr>
            <w:tcW w:type="dxa" w:w="6860"/>
          </w:tcPr>
          <w:p>
            <w:pPr>
              <w:keepNext/>
            </w:pPr>
            <w:r/>
            <w:r>
              <w:rPr>
                <w:sz w:val="17"/>
              </w:rPr>
              <w:t>Economics: marine industry research, market review, economic need and drivers, economic benefits, delivery strategy and grant case input</w:t>
            </w:r>
          </w:p>
        </w:tc>
        <w:tc>
          <w:tcPr>
            <w:tcW w:type="dxa" w:w="1984"/>
          </w:tcPr>
          <w:p>
            <w:pPr>
              <w:keepNext/>
              <w:jc w:val="right"/>
            </w:pPr>
            <w:r/>
            <w:r>
              <w:rPr>
                <w:sz w:val="17"/>
              </w:rPr>
              <w:t>$49,500.00</w:t>
            </w:r>
          </w:p>
        </w:tc>
      </w:tr>
      <w:tr>
        <w:trPr>
          <w:cantSplit/>
        </w:trPr>
        <w:tc>
          <w:tcPr>
            <w:tcW w:type="dxa" w:w="794"/>
          </w:tcPr>
          <w:p>
            <w:pPr>
              <w:keepNext/>
            </w:pPr>
            <w:r/>
            <w:r>
              <w:rPr>
                <w:sz w:val="17"/>
              </w:rPr>
              <w:t>PS2</w:t>
            </w:r>
          </w:p>
        </w:tc>
        <w:tc>
          <w:tcPr>
            <w:tcW w:type="dxa" w:w="6860"/>
          </w:tcPr>
          <w:p>
            <w:pPr>
              <w:keepNext/>
            </w:pPr>
            <w:r/>
            <w:r>
              <w:rPr>
                <w:sz w:val="17"/>
              </w:rPr>
              <w:t>Stakeholder engagement: interviews and industry sounding, industry workshop in Port Douglas, consultation record</w:t>
            </w:r>
          </w:p>
        </w:tc>
        <w:tc>
          <w:tcPr>
            <w:tcW w:type="dxa" w:w="1984"/>
          </w:tcPr>
          <w:p>
            <w:pPr>
              <w:keepNext/>
              <w:jc w:val="right"/>
            </w:pPr>
            <w:r/>
            <w:r>
              <w:rPr>
                <w:sz w:val="17"/>
              </w:rPr>
              <w:t>$22,000.00</w:t>
            </w:r>
          </w:p>
        </w:tc>
      </w:tr>
      <w:tr>
        <w:trPr>
          <w:cantSplit/>
        </w:trPr>
        <w:tc>
          <w:tcPr>
            <w:tcW w:type="dxa" w:w="794"/>
          </w:tcPr>
          <w:p>
            <w:pPr>
              <w:keepNext/>
            </w:pPr>
            <w:r/>
            <w:r>
              <w:rPr>
                <w:sz w:val="17"/>
              </w:rPr>
              <w:t>PS3</w:t>
            </w:r>
          </w:p>
        </w:tc>
        <w:tc>
          <w:tcPr>
            <w:tcW w:type="dxa" w:w="6860"/>
          </w:tcPr>
          <w:p>
            <w:pPr>
              <w:keepNext/>
            </w:pPr>
            <w:r/>
            <w:r>
              <w:rPr>
                <w:sz w:val="17"/>
              </w:rPr>
              <w:t>Marine and coastal engineering (RPEQ): water depths, groynes, dredging, piling, waterside layouts for three concepts and the master plan, coastal hazards, staging</w:t>
            </w:r>
          </w:p>
        </w:tc>
        <w:tc>
          <w:tcPr>
            <w:tcW w:type="dxa" w:w="1984"/>
          </w:tcPr>
          <w:p>
            <w:pPr>
              <w:keepNext/>
              <w:jc w:val="right"/>
            </w:pPr>
            <w:r/>
            <w:r>
              <w:rPr>
                <w:sz w:val="17"/>
              </w:rPr>
              <w:t>$35,200.00</w:t>
            </w:r>
          </w:p>
        </w:tc>
      </w:tr>
      <w:tr>
        <w:trPr>
          <w:cantSplit/>
        </w:trPr>
        <w:tc>
          <w:tcPr>
            <w:tcW w:type="dxa" w:w="794"/>
          </w:tcPr>
          <w:p>
            <w:pPr>
              <w:keepNext/>
            </w:pPr>
            <w:r/>
            <w:r>
              <w:rPr>
                <w:sz w:val="17"/>
              </w:rPr>
              <w:t>PS4</w:t>
            </w:r>
          </w:p>
        </w:tc>
        <w:tc>
          <w:tcPr>
            <w:tcW w:type="dxa" w:w="6860"/>
          </w:tcPr>
          <w:p>
            <w:pPr>
              <w:keepNext/>
            </w:pPr>
            <w:r/>
            <w:r>
              <w:rPr>
                <w:sz w:val="17"/>
              </w:rPr>
              <w:t>RPEQ (Civil) direct supervision and sign-off of JCE engineering inputs</w:t>
            </w:r>
          </w:p>
        </w:tc>
        <w:tc>
          <w:tcPr>
            <w:tcW w:type="dxa" w:w="1984"/>
          </w:tcPr>
          <w:p>
            <w:pPr>
              <w:keepNext/>
              <w:jc w:val="right"/>
            </w:pPr>
            <w:r/>
            <w:r>
              <w:rPr>
                <w:sz w:val="17"/>
              </w:rPr>
              <w:t>$4,400.00</w:t>
            </w:r>
          </w:p>
        </w:tc>
      </w:tr>
      <w:tr>
        <w:trPr>
          <w:cantSplit/>
        </w:trPr>
        <w:tc>
          <w:tcPr>
            <w:tcW w:type="dxa" w:w="794"/>
          </w:tcPr>
          <w:p>
            <w:pPr>
              <w:keepNext/>
            </w:pPr>
            <w:r/>
            <w:r>
              <w:rPr>
                <w:sz w:val="17"/>
              </w:rPr>
              <w:t>PS5</w:t>
            </w:r>
          </w:p>
        </w:tc>
        <w:tc>
          <w:tcPr>
            <w:tcW w:type="dxa" w:w="6860"/>
          </w:tcPr>
          <w:p>
            <w:pPr>
              <w:keepNext/>
            </w:pPr>
            <w:r/>
            <w:r>
              <w:rPr>
                <w:sz w:val="17"/>
              </w:rPr>
              <w:t>Desktop geotechnical assessment (RPEQ): landside and marine foundations, acid sulfate soils, dredging implications</w:t>
            </w:r>
          </w:p>
        </w:tc>
        <w:tc>
          <w:tcPr>
            <w:tcW w:type="dxa" w:w="1984"/>
          </w:tcPr>
          <w:p>
            <w:pPr>
              <w:keepNext/>
              <w:jc w:val="right"/>
            </w:pPr>
            <w:r/>
            <w:r>
              <w:rPr>
                <w:sz w:val="17"/>
              </w:rPr>
              <w:t>$6,600.00</w:t>
            </w:r>
          </w:p>
        </w:tc>
      </w:tr>
      <w:tr>
        <w:trPr>
          <w:cantSplit/>
        </w:trPr>
        <w:tc>
          <w:tcPr>
            <w:tcW w:type="dxa" w:w="794"/>
          </w:tcPr>
          <w:p>
            <w:pPr>
              <w:keepNext/>
            </w:pPr>
            <w:r/>
            <w:r>
              <w:rPr>
                <w:sz w:val="17"/>
              </w:rPr>
              <w:t>PS6</w:t>
            </w:r>
          </w:p>
        </w:tc>
        <w:tc>
          <w:tcPr>
            <w:tcW w:type="dxa" w:w="6860"/>
          </w:tcPr>
          <w:p>
            <w:pPr>
              <w:keepNext/>
            </w:pPr>
            <w:r/>
            <w:r>
              <w:rPr>
                <w:sz w:val="17"/>
              </w:rPr>
              <w:t>Planning and approvals review (local, State, Commonwealth), approvals pathway and timeframes; amenity, streetscape and urban design guidance</w:t>
            </w:r>
          </w:p>
        </w:tc>
        <w:tc>
          <w:tcPr>
            <w:tcW w:type="dxa" w:w="1984"/>
          </w:tcPr>
          <w:p>
            <w:pPr>
              <w:keepNext/>
              <w:jc w:val="right"/>
            </w:pPr>
            <w:r/>
            <w:r>
              <w:rPr>
                <w:sz w:val="17"/>
              </w:rPr>
              <w:t>$17,600.00</w:t>
            </w:r>
          </w:p>
        </w:tc>
      </w:tr>
      <w:tr>
        <w:trPr>
          <w:cantSplit/>
        </w:trPr>
        <w:tc>
          <w:tcPr>
            <w:tcW w:type="dxa" w:w="794"/>
          </w:tcPr>
          <w:p>
            <w:pPr>
              <w:keepNext/>
            </w:pPr>
            <w:r/>
            <w:r>
              <w:rPr>
                <w:sz w:val="17"/>
              </w:rPr>
              <w:t>PS7</w:t>
            </w:r>
          </w:p>
        </w:tc>
        <w:tc>
          <w:tcPr>
            <w:tcW w:type="dxa" w:w="6860"/>
          </w:tcPr>
          <w:p>
            <w:pPr>
              <w:keepNext/>
            </w:pPr>
            <w:r/>
            <w:r>
              <w:rPr>
                <w:sz w:val="17"/>
              </w:rPr>
              <w:t>Environmental constraints and approvals: marine plants, fisheries, marine parks, MNES, terrestrial ecology (desktop and walkover)</w:t>
            </w:r>
          </w:p>
        </w:tc>
        <w:tc>
          <w:tcPr>
            <w:tcW w:type="dxa" w:w="1984"/>
          </w:tcPr>
          <w:p>
            <w:pPr>
              <w:keepNext/>
              <w:jc w:val="right"/>
            </w:pPr>
            <w:r/>
            <w:r>
              <w:rPr>
                <w:sz w:val="17"/>
              </w:rPr>
              <w:t>$15,400.00</w:t>
            </w:r>
          </w:p>
        </w:tc>
      </w:tr>
      <w:tr>
        <w:trPr>
          <w:cantSplit/>
        </w:trPr>
        <w:tc>
          <w:tcPr>
            <w:tcW w:type="dxa" w:w="794"/>
          </w:tcPr>
          <w:p>
            <w:pPr>
              <w:keepNext/>
            </w:pPr>
            <w:r/>
            <w:r>
              <w:rPr>
                <w:sz w:val="17"/>
              </w:rPr>
              <w:t>PS8</w:t>
            </w:r>
          </w:p>
        </w:tc>
        <w:tc>
          <w:tcPr>
            <w:tcW w:type="dxa" w:w="6860"/>
          </w:tcPr>
          <w:p>
            <w:pPr>
              <w:keepNext/>
            </w:pPr>
            <w:r/>
            <w:r>
              <w:rPr>
                <w:sz w:val="17"/>
              </w:rPr>
              <w:t>Cost planning: order-of-magnitude estimates for three concepts and a staged cost plan for the preferred master plan</w:t>
            </w:r>
          </w:p>
        </w:tc>
        <w:tc>
          <w:tcPr>
            <w:tcW w:type="dxa" w:w="1984"/>
          </w:tcPr>
          <w:p>
            <w:pPr>
              <w:keepNext/>
              <w:jc w:val="right"/>
            </w:pPr>
            <w:r/>
            <w:r>
              <w:rPr>
                <w:sz w:val="17"/>
              </w:rPr>
              <w:t>$11,000.00</w:t>
            </w:r>
          </w:p>
        </w:tc>
      </w:tr>
      <w:tr>
        <w:trPr>
          <w:cantSplit/>
        </w:trPr>
        <w:tc>
          <w:tcPr>
            <w:tcW w:type="dxa" w:w="794"/>
            <w:shd w:val="clear" w:color="auto" w:fill="F3ECD3"/>
          </w:tcPr>
          <w:p>
            <w:r/>
            <w:r>
              <w:rPr>
                <w:b/>
                <w:sz w:val="17"/>
              </w:rPr>
            </w:r>
          </w:p>
        </w:tc>
        <w:tc>
          <w:tcPr>
            <w:tcW w:type="dxa" w:w="6860"/>
            <w:shd w:val="clear" w:color="auto" w:fill="F3ECD3"/>
          </w:tcPr>
          <w:p>
            <w:r/>
            <w:r>
              <w:rPr>
                <w:b/>
                <w:sz w:val="17"/>
              </w:rPr>
              <w:t>Specialist provisional sums subtotal (including JCE coordination margin of 10%)</w:t>
            </w:r>
          </w:p>
        </w:tc>
        <w:tc>
          <w:tcPr>
            <w:tcW w:type="dxa" w:w="1984"/>
            <w:shd w:val="clear" w:color="auto" w:fill="F3ECD3"/>
          </w:tcPr>
          <w:p>
            <w:pPr>
              <w:jc w:val="right"/>
            </w:pPr>
            <w:r/>
            <w:r>
              <w:rPr>
                <w:b/>
                <w:sz w:val="17"/>
              </w:rPr>
              <w:t>$161,700.00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794"/>
        <w:gridCol w:w="6860"/>
        <w:gridCol w:w="1984"/>
      </w:tblGrid>
      <w:tr>
        <w:trPr>
          <w:tblHeader/>
          <w:cantSplit/>
        </w:trPr>
        <w:tc>
          <w:tcPr>
            <w:tcW w:type="dxa" w:w="794"/>
            <w:shd w:val="clear" w:color="auto" w:fill="1A1A1A"/>
          </w:tcPr>
          <w:p>
            <w:pPr>
              <w:keepNext/>
            </w:pPr>
            <w:r/>
            <w:r>
              <w:rPr>
                <w:b/>
                <w:color w:val="FFFFFF"/>
                <w:sz w:val="17"/>
              </w:rPr>
            </w:r>
          </w:p>
        </w:tc>
        <w:tc>
          <w:tcPr>
            <w:tcW w:type="dxa" w:w="6860"/>
            <w:shd w:val="clear" w:color="auto" w:fill="1A1A1A"/>
          </w:tcPr>
          <w:p>
            <w:pPr>
              <w:keepNext/>
            </w:pPr>
            <w:r/>
            <w:r>
              <w:rPr>
                <w:b/>
                <w:color w:val="FFFFFF"/>
                <w:sz w:val="17"/>
              </w:rPr>
              <w:t>Summary</w:t>
            </w:r>
          </w:p>
        </w:tc>
        <w:tc>
          <w:tcPr>
            <w:tcW w:type="dxa" w:w="1984"/>
            <w:shd w:val="clear" w:color="auto" w:fill="1A1A1A"/>
          </w:tcPr>
          <w:p>
            <w:pPr>
              <w:keepNext/>
            </w:pPr>
            <w:r/>
            <w:r>
              <w:rPr>
                <w:b/>
                <w:color w:val="FFFFFF"/>
                <w:sz w:val="17"/>
              </w:rPr>
              <w:t>Amount</w:t>
            </w:r>
          </w:p>
        </w:tc>
      </w:tr>
      <w:tr>
        <w:trPr>
          <w:cantSplit/>
        </w:trPr>
        <w:tc>
          <w:tcPr>
            <w:tcW w:type="dxa" w:w="794"/>
            <w:shd w:val="clear" w:color="auto" w:fill="F3ECD3"/>
          </w:tcPr>
          <w:p>
            <w:pPr>
              <w:keepNext/>
            </w:pPr>
            <w:r/>
            <w:r>
              <w:rPr>
                <w:b/>
                <w:sz w:val="17"/>
              </w:rPr>
            </w:r>
          </w:p>
        </w:tc>
        <w:tc>
          <w:tcPr>
            <w:tcW w:type="dxa" w:w="6860"/>
            <w:shd w:val="clear" w:color="auto" w:fill="F3ECD3"/>
          </w:tcPr>
          <w:p>
            <w:pPr>
              <w:keepNext/>
            </w:pPr>
            <w:r/>
            <w:r>
              <w:rPr>
                <w:b/>
                <w:sz w:val="17"/>
              </w:rPr>
              <w:t>Total lump sum (excl. GST)</w:t>
            </w:r>
          </w:p>
        </w:tc>
        <w:tc>
          <w:tcPr>
            <w:tcW w:type="dxa" w:w="1984"/>
            <w:shd w:val="clear" w:color="auto" w:fill="F3ECD3"/>
          </w:tcPr>
          <w:p>
            <w:pPr>
              <w:keepNext/>
              <w:jc w:val="right"/>
            </w:pPr>
            <w:r/>
            <w:r>
              <w:rPr>
                <w:b/>
                <w:sz w:val="17"/>
              </w:rPr>
              <w:t>$277,700.00</w:t>
            </w:r>
          </w:p>
        </w:tc>
      </w:tr>
      <w:tr>
        <w:trPr>
          <w:cantSplit/>
        </w:trPr>
        <w:tc>
          <w:tcPr>
            <w:tcW w:type="dxa" w:w="794"/>
            <w:shd w:val="clear" w:color="auto" w:fill="F3ECD3"/>
          </w:tcPr>
          <w:p>
            <w:pPr>
              <w:keepNext/>
            </w:pPr>
            <w:r/>
            <w:r>
              <w:rPr>
                <w:b/>
                <w:sz w:val="17"/>
              </w:rPr>
            </w:r>
          </w:p>
        </w:tc>
        <w:tc>
          <w:tcPr>
            <w:tcW w:type="dxa" w:w="6860"/>
            <w:shd w:val="clear" w:color="auto" w:fill="F3ECD3"/>
          </w:tcPr>
          <w:p>
            <w:pPr>
              <w:keepNext/>
            </w:pPr>
            <w:r/>
            <w:r>
              <w:rPr>
                <w:b/>
                <w:sz w:val="17"/>
              </w:rPr>
              <w:t>GST (10%)</w:t>
            </w:r>
          </w:p>
        </w:tc>
        <w:tc>
          <w:tcPr>
            <w:tcW w:type="dxa" w:w="1984"/>
            <w:shd w:val="clear" w:color="auto" w:fill="F3ECD3"/>
          </w:tcPr>
          <w:p>
            <w:pPr>
              <w:keepNext/>
              <w:jc w:val="right"/>
            </w:pPr>
            <w:r/>
            <w:r>
              <w:rPr>
                <w:b/>
                <w:sz w:val="17"/>
              </w:rPr>
              <w:t>$27,770.00</w:t>
            </w:r>
          </w:p>
        </w:tc>
      </w:tr>
      <w:tr>
        <w:trPr>
          <w:cantSplit/>
        </w:trPr>
        <w:tc>
          <w:tcPr>
            <w:tcW w:type="dxa" w:w="794"/>
            <w:shd w:val="clear" w:color="auto" w:fill="F3ECD3"/>
          </w:tcPr>
          <w:p>
            <w:r/>
            <w:r>
              <w:rPr>
                <w:b/>
                <w:sz w:val="17"/>
              </w:rPr>
            </w:r>
          </w:p>
        </w:tc>
        <w:tc>
          <w:tcPr>
            <w:tcW w:type="dxa" w:w="6860"/>
            <w:shd w:val="clear" w:color="auto" w:fill="F3ECD3"/>
          </w:tcPr>
          <w:p>
            <w:r/>
            <w:r>
              <w:rPr>
                <w:b/>
                <w:sz w:val="17"/>
              </w:rPr>
              <w:t>Total lump sum (incl. GST)</w:t>
            </w:r>
          </w:p>
        </w:tc>
        <w:tc>
          <w:tcPr>
            <w:tcW w:type="dxa" w:w="1984"/>
            <w:shd w:val="clear" w:color="auto" w:fill="F3ECD3"/>
          </w:tcPr>
          <w:p>
            <w:pPr>
              <w:jc w:val="right"/>
            </w:pPr>
            <w:r/>
            <w:r>
              <w:rPr>
                <w:b/>
                <w:sz w:val="17"/>
              </w:rPr>
              <w:t>$305,470.00</w:t>
            </w:r>
          </w:p>
        </w:tc>
      </w:tr>
    </w:tbl>
    <w:p>
      <w:pPr>
        <w:spacing w:after="40"/>
      </w:pPr>
    </w:p>
    <w:p>
      <w:pPr>
        <w:pStyle w:val="Heading2"/>
      </w:pPr>
      <w:r>
        <w:t>Council's Schedule I1 price items</w:t>
      </w:r>
    </w:p>
    <w:p>
      <w:pPr>
        <w:keepNext/>
      </w:pPr>
      <w:r>
        <w:rPr>
          <w:i w:val="0"/>
        </w:rPr>
        <w:t>The same lump sum, allocated to the items in Council's Schedule I1 (Response Schedule, Part 6):</w:t>
      </w:r>
    </w:p>
    <w:tbl>
      <w:tblPr>
        <w:tblStyle w:val="TableGrid"/>
        <w:tblW w:type="auto" w:w="0"/>
        <w:jc w:val="center"/>
        <w:tblLayout w:type="fixed"/>
        <w:tblLook w:firstColumn="1" w:firstRow="1" w:lastColumn="0" w:lastRow="0" w:noHBand="0" w:noVBand="1" w:val="04A0"/>
        <w:tblLayout w:type="fixed"/>
      </w:tblPr>
      <w:tblGrid>
        <w:gridCol w:w="567"/>
        <w:gridCol w:w="2835"/>
        <w:gridCol w:w="737"/>
        <w:gridCol w:w="567"/>
        <w:gridCol w:w="1474"/>
        <w:gridCol w:w="3458"/>
      </w:tblGrid>
      <w:tr>
        <w:trPr>
          <w:tblHeader/>
          <w:cantSplit/>
        </w:trPr>
        <w:tc>
          <w:tcPr>
            <w:tcW w:type="dxa" w:w="567"/>
            <w:shd w:val="clear" w:color="auto" w:fill="1A1A1A"/>
          </w:tcPr>
          <w:p>
            <w:pPr>
              <w:keepNext/>
            </w:pPr>
            <w:r/>
            <w:r>
              <w:rPr>
                <w:b/>
                <w:color w:val="FFFFFF"/>
                <w:sz w:val="15"/>
              </w:rPr>
              <w:t>Item</w:t>
            </w:r>
          </w:p>
        </w:tc>
        <w:tc>
          <w:tcPr>
            <w:tcW w:type="dxa" w:w="2835"/>
            <w:shd w:val="clear" w:color="auto" w:fill="1A1A1A"/>
          </w:tcPr>
          <w:p>
            <w:pPr>
              <w:keepNext/>
            </w:pPr>
            <w:r/>
            <w:r>
              <w:rPr>
                <w:b/>
                <w:color w:val="FFFFFF"/>
                <w:sz w:val="15"/>
              </w:rPr>
              <w:t>Description</w:t>
            </w:r>
          </w:p>
        </w:tc>
        <w:tc>
          <w:tcPr>
            <w:tcW w:type="dxa" w:w="737"/>
            <w:shd w:val="clear" w:color="auto" w:fill="1A1A1A"/>
          </w:tcPr>
          <w:p>
            <w:pPr>
              <w:keepNext/>
            </w:pPr>
            <w:r/>
            <w:r>
              <w:rPr>
                <w:b/>
                <w:color w:val="FFFFFF"/>
                <w:sz w:val="15"/>
              </w:rPr>
              <w:t>Hold Points</w:t>
            </w:r>
          </w:p>
        </w:tc>
        <w:tc>
          <w:tcPr>
            <w:tcW w:type="dxa" w:w="567"/>
            <w:shd w:val="clear" w:color="auto" w:fill="1A1A1A"/>
          </w:tcPr>
          <w:p>
            <w:pPr>
              <w:keepNext/>
            </w:pPr>
            <w:r/>
            <w:r>
              <w:rPr>
                <w:b/>
                <w:color w:val="FFFFFF"/>
                <w:sz w:val="15"/>
              </w:rPr>
              <w:t>Unit</w:t>
            </w:r>
          </w:p>
        </w:tc>
        <w:tc>
          <w:tcPr>
            <w:tcW w:type="dxa" w:w="1474"/>
            <w:shd w:val="clear" w:color="auto" w:fill="1A1A1A"/>
          </w:tcPr>
          <w:p>
            <w:pPr>
              <w:keepNext/>
            </w:pPr>
            <w:r/>
            <w:r>
              <w:rPr>
                <w:b/>
                <w:color w:val="FFFFFF"/>
                <w:sz w:val="15"/>
              </w:rPr>
              <w:t>Amount $ (ex GST)</w:t>
            </w:r>
          </w:p>
        </w:tc>
        <w:tc>
          <w:tcPr>
            <w:tcW w:type="dxa" w:w="3458"/>
            <w:shd w:val="clear" w:color="auto" w:fill="1A1A1A"/>
          </w:tcPr>
          <w:p>
            <w:pPr>
              <w:keepNext/>
            </w:pPr>
            <w:r/>
            <w:r>
              <w:rPr>
                <w:b/>
                <w:color w:val="FFFFFF"/>
                <w:sz w:val="15"/>
              </w:rPr>
              <w:t>Made up of</w:t>
            </w:r>
          </w:p>
        </w:tc>
      </w:tr>
      <w:tr>
        <w:trPr>
          <w:cantSplit/>
        </w:trPr>
        <w:tc>
          <w:tcPr>
            <w:tcW w:type="dxa" w:w="567"/>
          </w:tcPr>
          <w:p>
            <w:pPr>
              <w:keepNext/>
            </w:pPr>
            <w:r/>
            <w:r>
              <w:rPr>
                <w:sz w:val="15"/>
              </w:rPr>
              <w:t>1.1</w:t>
            </w:r>
          </w:p>
        </w:tc>
        <w:tc>
          <w:tcPr>
            <w:tcW w:type="dxa" w:w="2835"/>
          </w:tcPr>
          <w:p>
            <w:pPr>
              <w:keepNext/>
            </w:pPr>
            <w:r/>
            <w:r>
              <w:rPr>
                <w:sz w:val="15"/>
              </w:rPr>
              <w:t>Facilitation of Inception Workshop/all workshops as required</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$3,500.00</w:t>
            </w:r>
          </w:p>
        </w:tc>
        <w:tc>
          <w:tcPr>
            <w:tcW w:type="dxa" w:w="3458"/>
          </w:tcPr>
          <w:p>
            <w:pPr>
              <w:keepNext/>
            </w:pPr>
            <w:r/>
            <w:r>
              <w:rPr>
                <w:sz w:val="15"/>
              </w:rPr>
              <w:t>Inception meeting at Mossman; online options workshop (S1, S4)</w:t>
            </w:r>
          </w:p>
        </w:tc>
      </w:tr>
      <w:tr>
        <w:trPr>
          <w:cantSplit/>
        </w:trPr>
        <w:tc>
          <w:tcPr>
            <w:tcW w:type="dxa" w:w="567"/>
          </w:tcPr>
          <w:p>
            <w:pPr>
              <w:keepNext/>
            </w:pPr>
            <w:r/>
            <w:r>
              <w:rPr>
                <w:sz w:val="15"/>
              </w:rPr>
              <w:t>1.2</w:t>
            </w:r>
          </w:p>
        </w:tc>
        <w:tc>
          <w:tcPr>
            <w:tcW w:type="dxa" w:w="2835"/>
          </w:tcPr>
          <w:p>
            <w:pPr>
              <w:keepNext/>
            </w:pPr>
            <w:r/>
            <w:r>
              <w:rPr>
                <w:sz w:val="15"/>
              </w:rPr>
              <w:t>Site inspections</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$8,200.00</w:t>
            </w:r>
          </w:p>
        </w:tc>
        <w:tc>
          <w:tcPr>
            <w:tcW w:type="dxa" w:w="3458"/>
          </w:tcPr>
          <w:p>
            <w:pPr>
              <w:keepNext/>
            </w:pPr>
            <w:r/>
            <w:r>
              <w:rPr>
                <w:sz w:val="15"/>
              </w:rPr>
              <w:t>Site visit 1 (3 days) incl. travel (S1)</w:t>
            </w:r>
          </w:p>
        </w:tc>
      </w:tr>
      <w:tr>
        <w:trPr>
          <w:cantSplit/>
        </w:trPr>
        <w:tc>
          <w:tcPr>
            <w:tcW w:type="dxa" w:w="567"/>
          </w:tcPr>
          <w:p>
            <w:pPr>
              <w:keepNext/>
            </w:pPr>
            <w:r/>
            <w:r>
              <w:rPr>
                <w:sz w:val="15"/>
              </w:rPr>
              <w:t>1.3</w:t>
            </w:r>
          </w:p>
        </w:tc>
        <w:tc>
          <w:tcPr>
            <w:tcW w:type="dxa" w:w="2835"/>
          </w:tcPr>
          <w:p>
            <w:pPr>
              <w:keepNext/>
            </w:pPr>
            <w:r/>
            <w:r>
              <w:rPr>
                <w:sz w:val="15"/>
              </w:rPr>
              <w:t>Project Management including fortnightly progress updates, project accruals and administration</w:t>
            </w:r>
          </w:p>
        </w:tc>
        <w:tc>
          <w:tcPr>
            <w:tcW w:type="dxa" w:w="737"/>
          </w:tcPr>
          <w:p>
            <w:pPr>
              <w:keepNext/>
            </w:pPr>
            <w:r/>
            <w:r>
              <w:rPr>
                <w:sz w:val="15"/>
              </w:rPr>
            </w:r>
          </w:p>
        </w:tc>
        <w:tc>
          <w:tcPr>
            <w:tcW w:type="dxa" w:w="567"/>
          </w:tcPr>
          <w:p>
            <w:pPr>
              <w:keepNext/>
            </w:pPr>
            <w:r/>
            <w:r>
              <w:rPr>
                <w:sz w:val="15"/>
              </w:rPr>
              <w:t>LS</w:t>
            </w:r>
          </w:p>
        </w:tc>
        <w:tc>
          <w:tcPr>
            <w:tcW w:type="dxa" w:w="1474"/>
          </w:tcPr>
          <w:p>
            <w:pPr>
              <w:keepNext/>
              <w:jc w:val="right"/>
            </w:pPr>
            <w:r/>
            <w:r>
              <w:rPr>
                <w:sz w:val="15"/>
              </w:rPr>
              <w:t>$15,500.00</w:t>
            </w:r>
          </w:p>
        </w:tc>
        <w:tc>
          <w:tcPr>
            <w:tcW w:type="dxa" w:w="3458"/>
          </w:tcPr>
          <w:p>
            <w:pPr>
              <w:keepNext/>
            </w:pPr>
            <w:r/>
            <w:r>
              <w:rPr>
                <w:sz w:val="15"/>
              </w:rPr>
              <w:t>PM, fortnightly meetings, monthly reports, accruals, document control</w:t>
            </w:r>
          </w:p>
        </w:tc>
      </w:tr>
      <w:tr>
        <w:trPr>
          <w:cantSplit/>
        </w:trPr>
        <w:tc>
          <w:tcPr>
            <w:tcW w:type="dxa" w:w="567"/>
          </w:tcPr>
          <w:p>
            <w:pPr>
              <w:keepNext/>
            </w:pPr>
            <w:r/>
            <w:r>
              <w:rPr>
                <w:sz w:val="15"/>
              </w:rPr>
              <w:t>1.4</w:t>
            </w:r>
          </w:p>
        </w:tc>
        <w:tc>
          <w:tcPr>
            <w:tcW w:type="dxa" w:w="2835"/>
          </w:tcPr>
          <w:p>
            <w:pPr>
              <w:keepNext/>
            </w:pPr>
            <w:r/>
            <w:r>
              <w:rPr>
                <w:sz w:val="15"/>
              </w:rPr>
              <w:t>Prepare and implement stakeholder engagement plan, consultation with relevant stakeholders</w:t>
            </w:r>
          </w:p>
        </w:tc>
        <w:tc>
          <w:tcPr>
            <w:tcW w:type="dxa" w:w="737"/>
          </w:tcPr>
          <w:p>
            <w:pPr>
              <w:keepNext/>
            </w:pPr>
            <w:r/>
            <w:r>
              <w:rPr>
                <w:sz w:val="15"/>
              </w:rPr>
            </w:r>
          </w:p>
        </w:tc>
        <w:tc>
          <w:tcPr>
            <w:tcW w:type="dxa" w:w="567"/>
          </w:tcPr>
          <w:p>
            <w:pPr>
              <w:keepNext/>
            </w:pPr>
            <w:r/>
            <w:r>
              <w:rPr>
                <w:sz w:val="15"/>
              </w:rPr>
              <w:t>LS</w:t>
            </w:r>
          </w:p>
        </w:tc>
        <w:tc>
          <w:tcPr>
            <w:tcW w:type="dxa" w:w="1474"/>
          </w:tcPr>
          <w:p>
            <w:pPr>
              <w:keepNext/>
              <w:jc w:val="right"/>
            </w:pPr>
            <w:r/>
            <w:r>
              <w:rPr>
                <w:sz w:val="15"/>
              </w:rPr>
              <w:t>$29,100.00</w:t>
            </w:r>
          </w:p>
        </w:tc>
        <w:tc>
          <w:tcPr>
            <w:tcW w:type="dxa" w:w="3458"/>
          </w:tcPr>
          <w:p>
            <w:pPr>
              <w:keepNext/>
            </w:pPr>
            <w:r/>
            <w:r>
              <w:rPr>
                <w:sz w:val="15"/>
              </w:rPr>
              <w:t>Activity Plan engagement plan; S3; PS2</w:t>
            </w:r>
          </w:p>
        </w:tc>
      </w:tr>
      <w:tr>
        <w:trPr>
          <w:cantSplit/>
        </w:trPr>
        <w:tc>
          <w:tcPr>
            <w:tcW w:type="dxa" w:w="567"/>
          </w:tcPr>
          <w:p>
            <w:pPr>
              <w:keepNext/>
            </w:pPr>
            <w:r/>
            <w:r>
              <w:rPr>
                <w:sz w:val="15"/>
              </w:rPr>
              <w:t>1.5</w:t>
            </w:r>
          </w:p>
        </w:tc>
        <w:tc>
          <w:tcPr>
            <w:tcW w:type="dxa" w:w="2835"/>
          </w:tcPr>
          <w:p>
            <w:pPr>
              <w:keepNext/>
            </w:pPr>
            <w:r/>
            <w:r>
              <w:rPr>
                <w:sz w:val="15"/>
              </w:rPr>
              <w:t>Master planning including options analysis</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$88,100.00</w:t>
            </w:r>
          </w:p>
        </w:tc>
        <w:tc>
          <w:tcPr>
            <w:tcW w:type="dxa" w:w="3458"/>
          </w:tcPr>
          <w:p>
            <w:pPr>
              <w:keepNext/>
            </w:pPr>
            <w:r/>
            <w:r>
              <w:rPr>
                <w:sz w:val="15"/>
              </w:rPr>
              <w:t>S4 master plan and infrastructure; PS3 marine (RPEQ); PS4 RPEQ civil; PS5 geotechnical; PS6 planning, approvals and urban design</w:t>
            </w:r>
          </w:p>
        </w:tc>
      </w:tr>
      <w:tr>
        <w:trPr>
          <w:cantSplit/>
        </w:trPr>
        <w:tc>
          <w:tcPr>
            <w:tcW w:type="dxa" w:w="567"/>
          </w:tcPr>
          <w:p>
            <w:pPr>
              <w:keepNext/>
            </w:pPr>
            <w:r/>
            <w:r>
              <w:rPr>
                <w:sz w:val="15"/>
              </w:rPr>
              <w:t>1.6</w:t>
            </w:r>
          </w:p>
        </w:tc>
        <w:tc>
          <w:tcPr>
            <w:tcW w:type="dxa" w:w="2835"/>
          </w:tcPr>
          <w:p>
            <w:pPr>
              <w:keepNext/>
            </w:pPr>
            <w:r/>
            <w:r>
              <w:rPr>
                <w:sz w:val="15"/>
              </w:rPr>
              <w:t>Concept plans development</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$16,300.00</w:t>
            </w:r>
          </w:p>
        </w:tc>
        <w:tc>
          <w:tcPr>
            <w:tcW w:type="dxa" w:w="3458"/>
          </w:tcPr>
          <w:p>
            <w:pPr>
              <w:keepNext/>
            </w:pPr>
            <w:r/>
            <w:r>
              <w:rPr>
                <w:sz w:val="15"/>
              </w:rPr>
              <w:t>Background review, GIS base mapping, three concept plans and drawings</w:t>
            </w:r>
          </w:p>
        </w:tc>
      </w:tr>
      <w:tr>
        <w:trPr>
          <w:cantSplit/>
        </w:trPr>
        <w:tc>
          <w:tcPr>
            <w:tcW w:type="dxa" w:w="567"/>
          </w:tcPr>
          <w:p>
            <w:pPr>
              <w:keepNext/>
            </w:pPr>
            <w:r/>
            <w:r>
              <w:rPr>
                <w:sz w:val="15"/>
              </w:rPr>
              <w:t>1.7</w:t>
            </w:r>
          </w:p>
        </w:tc>
        <w:tc>
          <w:tcPr>
            <w:tcW w:type="dxa" w:w="2835"/>
          </w:tcPr>
          <w:p>
            <w:pPr>
              <w:keepNext/>
            </w:pPr>
            <w:r/>
            <w:r>
              <w:rPr>
                <w:sz w:val="15"/>
              </w:rPr>
              <w:t>Costings estimate for precinct</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$15,400.00</w:t>
            </w:r>
          </w:p>
        </w:tc>
        <w:tc>
          <w:tcPr>
            <w:tcW w:type="dxa" w:w="3458"/>
          </w:tcPr>
          <w:p>
            <w:pPr>
              <w:keepNext/>
            </w:pPr>
            <w:r/>
            <w:r>
              <w:rPr>
                <w:sz w:val="15"/>
              </w:rPr>
              <w:t>Civil quantities and cost review (S5); PS8 cost planner</w:t>
            </w:r>
          </w:p>
        </w:tc>
      </w:tr>
      <w:tr>
        <w:trPr>
          <w:cantSplit/>
        </w:trPr>
        <w:tc>
          <w:tcPr>
            <w:tcW w:type="dxa" w:w="567"/>
          </w:tcPr>
          <w:p>
            <w:pPr>
              <w:keepNext/>
            </w:pPr>
            <w:r/>
            <w:r>
              <w:rPr>
                <w:sz w:val="15"/>
              </w:rPr>
              <w:t>1.8</w:t>
            </w:r>
          </w:p>
        </w:tc>
        <w:tc>
          <w:tcPr>
            <w:tcW w:type="dxa" w:w="2835"/>
          </w:tcPr>
          <w:p>
            <w:pPr>
              <w:keepNext/>
            </w:pPr>
            <w:r/>
            <w:r>
              <w:rPr>
                <w:sz w:val="15"/>
              </w:rPr>
              <w:t>Economic viability assessment</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$54,800.00</w:t>
            </w:r>
          </w:p>
        </w:tc>
        <w:tc>
          <w:tcPr>
            <w:tcW w:type="dxa" w:w="3458"/>
          </w:tcPr>
          <w:p>
            <w:pPr>
              <w:keepNext/>
            </w:pPr>
            <w:r/>
            <w:r>
              <w:rPr>
                <w:sz w:val="15"/>
              </w:rPr>
              <w:t>S2 benchmarking and sizing; PS1 economics</w:t>
            </w:r>
          </w:p>
        </w:tc>
      </w:tr>
      <w:tr>
        <w:trPr>
          <w:cantSplit/>
        </w:trPr>
        <w:tc>
          <w:tcPr>
            <w:tcW w:type="dxa" w:w="567"/>
          </w:tcPr>
          <w:p>
            <w:pPr>
              <w:keepNext/>
            </w:pPr>
            <w:r/>
            <w:r>
              <w:rPr>
                <w:sz w:val="15"/>
              </w:rPr>
              <w:t>1.9</w:t>
            </w:r>
          </w:p>
        </w:tc>
        <w:tc>
          <w:tcPr>
            <w:tcW w:type="dxa" w:w="2835"/>
          </w:tcPr>
          <w:p>
            <w:pPr>
              <w:keepNext/>
            </w:pPr>
            <w:r/>
            <w:r>
              <w:rPr>
                <w:sz w:val="15"/>
              </w:rPr>
              <w:t>Environmental desktop assessment including marine related investigations</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$15,400.00</w:t>
            </w:r>
          </w:p>
        </w:tc>
        <w:tc>
          <w:tcPr>
            <w:tcW w:type="dxa" w:w="3458"/>
          </w:tcPr>
          <w:p>
            <w:pPr>
              <w:keepNext/>
            </w:pPr>
            <w:r/>
            <w:r>
              <w:rPr>
                <w:sz w:val="15"/>
              </w:rPr>
              <w:t>PS7 environmental and marine ecology</w:t>
            </w:r>
          </w:p>
        </w:tc>
      </w:tr>
      <w:tr>
        <w:trPr>
          <w:cantSplit/>
        </w:trPr>
        <w:tc>
          <w:tcPr>
            <w:tcW w:type="dxa" w:w="567"/>
          </w:tcPr>
          <w:p>
            <w:pPr>
              <w:keepNext/>
            </w:pPr>
            <w:r/>
            <w:r>
              <w:rPr>
                <w:sz w:val="15"/>
              </w:rPr>
              <w:t>2.0</w:t>
            </w:r>
          </w:p>
        </w:tc>
        <w:tc>
          <w:tcPr>
            <w:tcW w:type="dxa" w:w="2835"/>
          </w:tcPr>
          <w:p>
            <w:pPr>
              <w:keepNext/>
            </w:pPr>
            <w:r/>
            <w:r>
              <w:rPr>
                <w:sz w:val="15"/>
              </w:rPr>
              <w:t>Final reporting</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$31,400.00</w:t>
            </w:r>
          </w:p>
        </w:tc>
        <w:tc>
          <w:tcPr>
            <w:tcW w:type="dxa" w:w="3458"/>
          </w:tcPr>
          <w:p>
            <w:pPr>
              <w:keepNext/>
            </w:pPr>
            <w:r/>
            <w:r>
              <w:rPr>
                <w:sz w:val="15"/>
              </w:rPr>
              <w:t>Approvals, delivery and risk chapters (S5); Draft and Final Reports (S6); presentation and site visit 2 (S7)</w:t>
            </w:r>
          </w:p>
        </w:tc>
      </w:tr>
      <w:tr>
        <w:trPr>
          <w:cantSplit/>
        </w:trPr>
        <w:tc>
          <w:tcPr>
            <w:tcW w:type="dxa" w:w="567"/>
            <w:shd w:val="clear" w:color="auto" w:fill="F3ECD3"/>
          </w:tcPr>
          <w:p>
            <w:pPr>
              <w:keepNext/>
            </w:pPr>
            <w:r/>
            <w:r>
              <w:rPr>
                <w:b/>
                <w:sz w:val="15"/>
              </w:rPr>
            </w:r>
          </w:p>
        </w:tc>
        <w:tc>
          <w:tcPr>
            <w:tcW w:type="dxa" w:w="2835"/>
            <w:shd w:val="clear" w:color="auto" w:fill="F3ECD3"/>
          </w:tcPr>
          <w:p>
            <w:pPr>
              <w:keepNext/>
            </w:pPr>
            <w:r/>
            <w:r>
              <w:rPr>
                <w:b/>
                <w:sz w:val="15"/>
              </w:rPr>
              <w:t>Sub-total</w:t>
            </w:r>
          </w:p>
        </w:tc>
        <w:tc>
          <w:tcPr>
            <w:tcW w:type="dxa" w:w="737"/>
            <w:shd w:val="clear" w:color="auto" w:fill="F3ECD3"/>
          </w:tcPr>
          <w:p>
            <w:pPr>
              <w:keepNext/>
            </w:pPr>
            <w:r/>
            <w:r>
              <w:rPr>
                <w:b/>
                <w:sz w:val="15"/>
              </w:rPr>
            </w:r>
          </w:p>
        </w:tc>
        <w:tc>
          <w:tcPr>
            <w:tcW w:type="dxa" w:w="567"/>
            <w:shd w:val="clear" w:color="auto" w:fill="F3ECD3"/>
          </w:tcPr>
          <w:p>
            <w:pPr>
              <w:keepNext/>
            </w:pPr>
            <w:r/>
            <w:r>
              <w:rPr>
                <w:b/>
                <w:sz w:val="15"/>
              </w:rPr>
            </w:r>
          </w:p>
        </w:tc>
        <w:tc>
          <w:tcPr>
            <w:tcW w:type="dxa" w:w="1474"/>
            <w:shd w:val="clear" w:color="auto" w:fill="F3ECD3"/>
          </w:tcPr>
          <w:p>
            <w:pPr>
              <w:keepNext/>
              <w:jc w:val="right"/>
            </w:pPr>
            <w:r/>
            <w:r>
              <w:rPr>
                <w:b/>
                <w:sz w:val="15"/>
              </w:rPr>
              <w:t>$277,700.00</w:t>
            </w:r>
          </w:p>
        </w:tc>
        <w:tc>
          <w:tcPr>
            <w:tcW w:type="dxa" w:w="3458"/>
            <w:shd w:val="clear" w:color="auto" w:fill="F3ECD3"/>
          </w:tcPr>
          <w:p>
            <w:pPr>
              <w:keepNext/>
            </w:pPr>
            <w:r/>
            <w:r>
              <w:rPr>
                <w:b/>
                <w:sz w:val="15"/>
              </w:rPr>
            </w:r>
          </w:p>
        </w:tc>
      </w:tr>
      <w:tr>
        <w:trPr>
          <w:cantSplit/>
        </w:trPr>
        <w:tc>
          <w:tcPr>
            <w:tcW w:type="dxa" w:w="567"/>
            <w:shd w:val="clear" w:color="auto" w:fill="F3ECD3"/>
          </w:tcPr>
          <w:p>
            <w:pPr>
              <w:keepNext/>
            </w:pPr>
            <w:r/>
            <w:r>
              <w:rPr>
                <w:b/>
                <w:sz w:val="15"/>
              </w:rPr>
            </w:r>
          </w:p>
        </w:tc>
        <w:tc>
          <w:tcPr>
            <w:tcW w:type="dxa" w:w="2835"/>
            <w:shd w:val="clear" w:color="auto" w:fill="F3ECD3"/>
          </w:tcPr>
          <w:p>
            <w:pPr>
              <w:keepNext/>
            </w:pPr>
            <w:r/>
            <w:r>
              <w:rPr>
                <w:b/>
                <w:sz w:val="15"/>
              </w:rPr>
              <w:t>GST</w:t>
            </w:r>
          </w:p>
        </w:tc>
        <w:tc>
          <w:tcPr>
            <w:tcW w:type="dxa" w:w="737"/>
            <w:shd w:val="clear" w:color="auto" w:fill="F3ECD3"/>
          </w:tcPr>
          <w:p>
            <w:pPr>
              <w:keepNext/>
            </w:pPr>
            <w:r/>
            <w:r>
              <w:rPr>
                <w:b/>
                <w:sz w:val="15"/>
              </w:rPr>
            </w:r>
          </w:p>
        </w:tc>
        <w:tc>
          <w:tcPr>
            <w:tcW w:type="dxa" w:w="567"/>
            <w:shd w:val="clear" w:color="auto" w:fill="F3ECD3"/>
          </w:tcPr>
          <w:p>
            <w:pPr>
              <w:keepNext/>
            </w:pPr>
            <w:r/>
            <w:r>
              <w:rPr>
                <w:b/>
                <w:sz w:val="15"/>
              </w:rPr>
            </w:r>
          </w:p>
        </w:tc>
        <w:tc>
          <w:tcPr>
            <w:tcW w:type="dxa" w:w="1474"/>
            <w:shd w:val="clear" w:color="auto" w:fill="F3ECD3"/>
          </w:tcPr>
          <w:p>
            <w:pPr>
              <w:keepNext/>
              <w:jc w:val="right"/>
            </w:pPr>
            <w:r/>
            <w:r>
              <w:rPr>
                <w:b/>
                <w:sz w:val="15"/>
              </w:rPr>
              <w:t>$27,770.00</w:t>
            </w:r>
          </w:p>
        </w:tc>
        <w:tc>
          <w:tcPr>
            <w:tcW w:type="dxa" w:w="3458"/>
            <w:shd w:val="clear" w:color="auto" w:fill="F3ECD3"/>
          </w:tcPr>
          <w:p>
            <w:pPr>
              <w:keepNext/>
            </w:pPr>
            <w:r/>
            <w:r>
              <w:rPr>
                <w:b/>
                <w:sz w:val="15"/>
              </w:rPr>
            </w:r>
          </w:p>
        </w:tc>
      </w:tr>
      <w:tr>
        <w:trPr>
          <w:cantSplit/>
        </w:trPr>
        <w:tc>
          <w:tcPr>
            <w:tcW w:type="dxa" w:w="567"/>
            <w:shd w:val="clear" w:color="auto" w:fill="F3ECD3"/>
          </w:tcPr>
          <w:p>
            <w:r/>
            <w:r>
              <w:rPr>
                <w:b/>
                <w:sz w:val="15"/>
              </w:rPr>
            </w:r>
          </w:p>
        </w:tc>
        <w:tc>
          <w:tcPr>
            <w:tcW w:type="dxa" w:w="2835"/>
            <w:shd w:val="clear" w:color="auto" w:fill="F3ECD3"/>
          </w:tcPr>
          <w:p>
            <w:r/>
            <w:r>
              <w:rPr>
                <w:b/>
                <w:sz w:val="15"/>
              </w:rPr>
              <w:t>Total including GST</w:t>
            </w:r>
          </w:p>
        </w:tc>
        <w:tc>
          <w:tcPr>
            <w:tcW w:type="dxa" w:w="737"/>
            <w:shd w:val="clear" w:color="auto" w:fill="F3ECD3"/>
          </w:tcPr>
          <w:p>
            <w:r/>
            <w:r>
              <w:rPr>
                <w:b/>
                <w:sz w:val="15"/>
              </w:rPr>
            </w:r>
          </w:p>
        </w:tc>
        <w:tc>
          <w:tcPr>
            <w:tcW w:type="dxa" w:w="567"/>
            <w:shd w:val="clear" w:color="auto" w:fill="F3ECD3"/>
          </w:tcPr>
          <w:p>
            <w:r/>
            <w:r>
              <w:rPr>
                <w:b/>
                <w:sz w:val="15"/>
              </w:rPr>
            </w:r>
          </w:p>
        </w:tc>
        <w:tc>
          <w:tcPr>
            <w:tcW w:type="dxa" w:w="1474"/>
            <w:shd w:val="clear" w:color="auto" w:fill="F3ECD3"/>
          </w:tcPr>
          <w:p>
            <w:pPr>
              <w:jc w:val="right"/>
            </w:pPr>
            <w:r/>
            <w:r>
              <w:rPr>
                <w:b/>
                <w:sz w:val="15"/>
              </w:rPr>
              <w:t>$305,470.00</w:t>
            </w:r>
          </w:p>
        </w:tc>
        <w:tc>
          <w:tcPr>
            <w:tcW w:type="dxa" w:w="3458"/>
            <w:shd w:val="clear" w:color="auto" w:fill="F3ECD3"/>
          </w:tcPr>
          <w:p>
            <w:r/>
            <w:r>
              <w:rPr>
                <w:b/>
                <w:sz w:val="15"/>
              </w:rPr>
            </w:r>
          </w:p>
        </w:tc>
      </w:tr>
    </w:tbl>
    <w:p>
      <w:pPr>
        <w:spacing w:after="40"/>
      </w:pPr>
    </w:p>
    <w:p>
      <w:pPr>
        <w:keepNext w:val="0"/>
      </w:pPr>
      <w:r>
        <w:rPr>
          <w:i w:val="0"/>
        </w:rPr>
        <w:t>Variations will be priced from the Schedule of Rates (Attachment A).</w:t>
      </w:r>
    </w:p>
    <w:p>
      <w:pPr>
        <w:pStyle w:val="Heading1"/>
      </w:pPr>
      <w:r>
        <w:t>11.  Payment terms</w:t>
      </w:r>
    </w:p>
    <w:p>
      <w:pPr>
        <w:keepNext w:val="0"/>
      </w:pPr>
      <w:r>
        <w:rPr>
          <w:i w:val="0"/>
        </w:rPr>
        <w:t>Payment in accordance with the Contract: monthly payment claims for work completed, submitted on the 21st of each month, payable within 25 business days, with accruals and forecasts provided to Council as required.</w:t>
      </w:r>
    </w:p>
    <w:p>
      <w:pPr>
        <w:pStyle w:val="Heading1"/>
      </w:pPr>
      <w:r>
        <w:t>12.  Variations and additional services</w:t>
      </w:r>
    </w:p>
    <w:p>
      <w:pPr>
        <w:keepNext w:val="0"/>
      </w:pPr>
      <w:r>
        <w:rPr>
          <w:i w:val="0"/>
        </w:rPr>
        <w:t>Services beyond the agreed scope will be carried out only with Council's prior written approval and priced from the Schedule of Rates (Attachment A). Additional fees may apply for a change to the site, objectives or approvals scope, additional meetings, site visits or engagement events, or additional review rounds.</w:t>
      </w:r>
    </w:p>
    <w:p>
      <w:pPr>
        <w:pStyle w:val="Heading1"/>
      </w:pPr>
      <w:r>
        <w:t>13.  Insurance</w:t>
      </w:r>
    </w:p>
    <w:tbl>
      <w:tblPr>
        <w:tblStyle w:val="TableGrid"/>
        <w:tblW w:type="auto" w:w="0"/>
        <w:jc w:val="center"/>
        <w:tblLayout w:type="fixed"/>
        <w:tblLook w:firstColumn="1" w:firstRow="1" w:lastColumn="0" w:lastRow="0" w:noHBand="0" w:noVBand="1" w:val="04A0"/>
        <w:tblLayout w:type="fixed"/>
      </w:tblPr>
      <w:tblGrid>
        <w:gridCol w:w="2041"/>
        <w:gridCol w:w="2835"/>
        <w:gridCol w:w="4762"/>
      </w:tblGrid>
      <w:tr>
        <w:trPr>
          <w:tblHeader/>
          <w:cantSplit/>
        </w:trPr>
        <w:tc>
          <w:tcPr>
            <w:tcW w:type="dxa" w:w="2041"/>
            <w:shd w:val="clear" w:color="auto" w:fill="1A1A1A"/>
          </w:tcPr>
          <w:p>
            <w:pPr>
              <w:keepNext/>
            </w:pPr>
            <w:r/>
            <w:r>
              <w:rPr>
                <w:b/>
                <w:color w:val="FFFFFF"/>
                <w:sz w:val="17"/>
              </w:rPr>
              <w:t>Insurance</w:t>
            </w:r>
          </w:p>
        </w:tc>
        <w:tc>
          <w:tcPr>
            <w:tcW w:type="dxa" w:w="2835"/>
            <w:shd w:val="clear" w:color="auto" w:fill="1A1A1A"/>
          </w:tcPr>
          <w:p>
            <w:pPr>
              <w:keepNext/>
            </w:pPr>
            <w:r/>
            <w:r>
              <w:rPr>
                <w:b/>
                <w:color w:val="FFFFFF"/>
                <w:sz w:val="17"/>
              </w:rPr>
              <w:t>Council requirement</w:t>
            </w:r>
          </w:p>
        </w:tc>
        <w:tc>
          <w:tcPr>
            <w:tcW w:type="dxa" w:w="4762"/>
            <w:shd w:val="clear" w:color="auto" w:fill="1A1A1A"/>
          </w:tcPr>
          <w:p>
            <w:pPr>
              <w:keepNext/>
            </w:pPr>
            <w:r/>
            <w:r>
              <w:rPr>
                <w:b/>
                <w:color w:val="FFFFFF"/>
                <w:sz w:val="17"/>
              </w:rPr>
              <w:t>JCE position</w:t>
            </w:r>
          </w:p>
        </w:tc>
      </w:tr>
      <w:tr>
        <w:trPr>
          <w:cantSplit/>
        </w:trPr>
        <w:tc>
          <w:tcPr>
            <w:tcW w:type="dxa" w:w="2041"/>
          </w:tcPr>
          <w:p>
            <w:pPr>
              <w:keepNext/>
            </w:pPr>
            <w:r/>
            <w:r>
              <w:rPr>
                <w:sz w:val="17"/>
              </w:rPr>
              <w:t>Public and products liability</w:t>
            </w:r>
          </w:p>
        </w:tc>
        <w:tc>
          <w:tcPr>
            <w:tcW w:type="dxa" w:w="2835"/>
          </w:tcPr>
          <w:p>
            <w:pPr>
              <w:keepNext/>
            </w:pPr>
            <w:r/>
            <w:r>
              <w:rPr>
                <w:sz w:val="17"/>
              </w:rPr>
              <w:t>$20 million any one occurrence</w:t>
            </w:r>
          </w:p>
        </w:tc>
        <w:tc>
          <w:tcPr>
            <w:tcW w:type="dxa" w:w="4762"/>
          </w:tcPr>
          <w:p>
            <w:pPr>
              <w:keepNext/>
            </w:pPr>
            <w:r/>
            <w:r>
              <w:rPr>
                <w:sz w:val="17"/>
              </w:rPr>
              <w:t>JCE holds $10 million and will lift cover to $20 million any one occurrence on award [TBC - Jayden: confirm with Webber]</w:t>
            </w:r>
          </w:p>
        </w:tc>
      </w:tr>
      <w:tr>
        <w:trPr>
          <w:cantSplit/>
        </w:trPr>
        <w:tc>
          <w:tcPr>
            <w:tcW w:type="dxa" w:w="2041"/>
          </w:tcPr>
          <w:p>
            <w:pPr>
              <w:keepNext/>
            </w:pPr>
            <w:r/>
            <w:r>
              <w:rPr>
                <w:sz w:val="17"/>
              </w:rPr>
              <w:t>Professional indemnity</w:t>
            </w:r>
          </w:p>
        </w:tc>
        <w:tc>
          <w:tcPr>
            <w:tcW w:type="dxa" w:w="2835"/>
          </w:tcPr>
          <w:p>
            <w:pPr>
              <w:keepNext/>
            </w:pPr>
            <w:r/>
            <w:r>
              <w:rPr>
                <w:sz w:val="17"/>
              </w:rPr>
              <w:t>$5 million any one occurrence, kept for 7 years after completion</w:t>
            </w:r>
          </w:p>
        </w:tc>
        <w:tc>
          <w:tcPr>
            <w:tcW w:type="dxa" w:w="4762"/>
          </w:tcPr>
          <w:p>
            <w:pPr>
              <w:keepNext/>
            </w:pPr>
            <w:r/>
            <w:r>
              <w:rPr>
                <w:sz w:val="17"/>
              </w:rPr>
              <w:t>$10 million any one claim and $20 million in the aggregate; JCE will maintain cover for 7 years after completion</w:t>
            </w:r>
          </w:p>
        </w:tc>
      </w:tr>
      <w:tr>
        <w:trPr>
          <w:cantSplit/>
        </w:trPr>
        <w:tc>
          <w:tcPr>
            <w:tcW w:type="dxa" w:w="2041"/>
          </w:tcPr>
          <w:p>
            <w:pPr>
              <w:keepNext/>
            </w:pPr>
            <w:r/>
            <w:r>
              <w:rPr>
                <w:sz w:val="17"/>
              </w:rPr>
              <w:t>Workers compensation</w:t>
            </w:r>
          </w:p>
        </w:tc>
        <w:tc>
          <w:tcPr>
            <w:tcW w:type="dxa" w:w="2835"/>
          </w:tcPr>
          <w:p>
            <w:pPr>
              <w:keepNext/>
            </w:pPr>
            <w:r/>
            <w:r>
              <w:rPr>
                <w:sz w:val="17"/>
              </w:rPr>
              <w:t>As required by law</w:t>
            </w:r>
          </w:p>
        </w:tc>
        <w:tc>
          <w:tcPr>
            <w:tcW w:type="dxa" w:w="4762"/>
          </w:tcPr>
          <w:p>
            <w:pPr>
              <w:keepNext/>
            </w:pPr>
            <w:r/>
            <w:r>
              <w:rPr>
                <w:sz w:val="17"/>
              </w:rPr>
              <w:t>[TBC - Jayden: attach icare certificate and confirm cover for work in Queensland]</w:t>
            </w:r>
          </w:p>
        </w:tc>
      </w:tr>
      <w:tr>
        <w:trPr>
          <w:cantSplit/>
        </w:trPr>
        <w:tc>
          <w:tcPr>
            <w:tcW w:type="dxa" w:w="2041"/>
          </w:tcPr>
          <w:p>
            <w:r/>
            <w:r>
              <w:rPr>
                <w:sz w:val="17"/>
              </w:rPr>
              <w:t>Motor vehicle</w:t>
            </w:r>
          </w:p>
        </w:tc>
        <w:tc>
          <w:tcPr>
            <w:tcW w:type="dxa" w:w="2835"/>
          </w:tcPr>
          <w:p>
            <w:r/>
            <w:r>
              <w:rPr>
                <w:sz w:val="17"/>
              </w:rPr>
              <w:t>Third party and comprehensive for each vehicle used</w:t>
            </w:r>
          </w:p>
        </w:tc>
        <w:tc>
          <w:tcPr>
            <w:tcW w:type="dxa" w:w="4762"/>
          </w:tcPr>
          <w:p>
            <w:r/>
            <w:r>
              <w:rPr>
                <w:sz w:val="17"/>
              </w:rPr>
              <w:t>[TBC - Jayden: attach certificate; hire vehicles in Queensland carry the hire company cover]</w:t>
            </w:r>
          </w:p>
        </w:tc>
      </w:tr>
    </w:tbl>
    <w:p>
      <w:pPr>
        <w:spacing w:after="40"/>
      </w:pPr>
    </w:p>
    <w:p>
      <w:pPr>
        <w:keepNext w:val="0"/>
      </w:pPr>
      <w:r>
        <w:rPr>
          <w:i w:val="0"/>
        </w:rPr>
        <w:t>Sub-consultants are required to hold equivalent cover under their RFQs. Certificates of currency are attached to the response.</w:t>
      </w:r>
    </w:p>
    <w:p>
      <w:pPr>
        <w:pStyle w:val="Heading1"/>
      </w:pPr>
      <w:r>
        <w:t>14.  Contract and departures</w:t>
      </w:r>
    </w:p>
    <w:p>
      <w:pPr>
        <w:keepNext/>
      </w:pPr>
      <w:r>
        <w:rPr>
          <w:i w:val="0"/>
        </w:rPr>
        <w:t>JCE accepts the draft Council Contract (Goods and Services) LGT2.4, subject to the departures in Schedule K1:</w:t>
      </w:r>
    </w:p>
    <w:p>
      <w:pPr>
        <w:pStyle w:val="ListBullet"/>
      </w:pPr>
      <w:r>
        <w:t>Supplier liability: aggregate liability capped at the Contract Price (the draft caps only the Principal's liability)</w:t>
      </w:r>
    </w:p>
    <w:p>
      <w:pPr>
        <w:pStyle w:val="ListBullet"/>
      </w:pPr>
      <w:r>
        <w:t>Service Levels (Scope clause 1.11): the procurement documentation, procurement advice and 5 to 20 hours per week availability levels appear to relate to a different engagement; JCE proposes study-specific levels for responsiveness and milestone delivery</w:t>
      </w:r>
    </w:p>
    <w:p>
      <w:pPr>
        <w:pStyle w:val="ListBullet"/>
      </w:pPr>
      <w:r>
        <w:t>Design warranty (Scope clause 2): the study produces concept and master planning documents, not design for construction, so the fitness for purpose and design life warranties should not apply</w:t>
      </w:r>
    </w:p>
    <w:p>
      <w:pPr>
        <w:pStyle w:val="ListBullet"/>
      </w:pPr>
      <w:r>
        <w:t>Professional indemnity run-off: JCE will maintain cover for seven years after completion, subject to cover remaining available on reasonable commercial terms</w:t>
      </w:r>
    </w:p>
    <w:p>
      <w:pPr>
        <w:keepNext w:val="0"/>
      </w:pPr>
      <w:r>
        <w:rPr>
          <w:i w:val="0"/>
        </w:rPr>
        <w:t>None of the departures changes the Price.</w:t>
      </w:r>
    </w:p>
    <w:p>
      <w:pPr>
        <w:pStyle w:val="Heading1"/>
      </w:pPr>
      <w:r>
        <w:t>15.  Validity</w:t>
      </w:r>
    </w:p>
    <w:p>
      <w:pPr>
        <w:keepNext w:val="0"/>
      </w:pPr>
      <w:r>
        <w:rPr>
          <w:i w:val="0"/>
        </w:rPr>
        <w:t>This proposal is valid for 90 calendar days after the closing time, as required by the RFQ.</w:t>
      </w:r>
    </w:p>
    <w:p>
      <w:pPr>
        <w:pStyle w:val="Heading1"/>
      </w:pPr>
      <w:r>
        <w:t>16.  Offer</w:t>
      </w:r>
    </w:p>
    <w:p>
      <w:pPr>
        <w:keepNext/>
      </w:pPr>
      <w:r>
        <w:rPr>
          <w:i w:val="0"/>
        </w:rPr>
        <w:t>JCE Infrastructure Pty Ltd offers to carry out the Port Douglas Marine Industry Precinct Scoping Study (RFQ 2026-092) for the lump sum of $277,700.00 excluding GST ($305,470.00 including GST), in accordance with this proposal and the completed Response Schedules.</w:t>
      </w:r>
    </w:p>
    <w:p>
      <w:pPr>
        <w:keepNext/>
        <w:keepLines/>
      </w:pPr>
      <w:r>
        <w:t>Offered by: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pPr>
        <w:keepNext/>
      </w:pPr>
      <w:r>
        <w:t>0477 207 027   |   jayden@jceinfrastructure.com.au</w:t>
      </w:r>
    </w:p>
    <w:p>
      <w:r>
        <w:t>Date: ____ / ____ / 2026</w:t>
      </w:r>
    </w:p>
    <w:p>
      <w:r>
        <w:br w:type="page"/>
      </w:r>
    </w:p>
    <w:p>
      <w:pPr>
        <w:pStyle w:val="Heading1"/>
      </w:pPr>
      <w:r>
        <w:t>Attachment A  Schedule of rates</w:t>
      </w:r>
    </w:p>
    <w:p>
      <w:pPr>
        <w:keepNext/>
      </w:pPr>
      <w:r>
        <w:rPr>
          <w:i w:val="0"/>
        </w:rPr>
        <w:t>Applies to variations and additional services.</w:t>
      </w:r>
    </w:p>
    <w:tbl>
      <w:tblPr>
        <w:tblStyle w:val="TableGrid"/>
        <w:tblW w:type="auto" w:w="0"/>
        <w:jc w:val="center"/>
        <w:tblLayout w:type="fixed"/>
        <w:tblLook w:firstColumn="1" w:firstRow="1" w:lastColumn="0" w:lastRow="0" w:noHBand="0" w:noVBand="1" w:val="04A0"/>
        <w:tblLayout w:type="fixed"/>
      </w:tblPr>
      <w:tblGrid>
        <w:gridCol w:w="5669"/>
        <w:gridCol w:w="3969"/>
      </w:tblGrid>
      <w:tr>
        <w:trPr>
          <w:tblHeader/>
          <w:cantSplit/>
        </w:trPr>
        <w:tc>
          <w:tcPr>
            <w:tcW w:type="dxa" w:w="5669"/>
            <w:shd w:val="clear" w:color="auto" w:fill="1A1A1A"/>
          </w:tcPr>
          <w:p>
            <w:pPr>
              <w:keepNext/>
            </w:pPr>
            <w:r/>
            <w:r>
              <w:rPr>
                <w:b/>
                <w:color w:val="FFFFFF"/>
                <w:sz w:val="17"/>
              </w:rPr>
              <w:t>Role</w:t>
            </w:r>
          </w:p>
        </w:tc>
        <w:tc>
          <w:tcPr>
            <w:tcW w:type="dxa" w:w="3969"/>
            <w:shd w:val="clear" w:color="auto" w:fill="1A1A1A"/>
          </w:tcPr>
          <w:p>
            <w:pPr>
              <w:keepNext/>
            </w:pPr>
            <w:r/>
            <w:r>
              <w:rPr>
                <w:b/>
                <w:color w:val="FFFFFF"/>
                <w:sz w:val="17"/>
              </w:rPr>
              <w:t>Rate (excl. GST)</w:t>
            </w:r>
          </w:p>
        </w:tc>
      </w:tr>
      <w:tr>
        <w:trPr>
          <w:cantSplit/>
        </w:trPr>
        <w:tc>
          <w:tcPr>
            <w:tcW w:type="dxa" w:w="5669"/>
          </w:tcPr>
          <w:p>
            <w:pPr>
              <w:keepNext/>
            </w:pPr>
            <w:r/>
            <w:r>
              <w:rPr>
                <w:sz w:val="17"/>
              </w:rPr>
              <w:t>Director / Principal Engineer</w:t>
            </w:r>
          </w:p>
        </w:tc>
        <w:tc>
          <w:tcPr>
            <w:tcW w:type="dxa" w:w="3969"/>
          </w:tcPr>
          <w:p>
            <w:pPr>
              <w:keepNext/>
            </w:pPr>
            <w:r/>
            <w:r>
              <w:rPr>
                <w:sz w:val="17"/>
              </w:rPr>
              <w:t>$200/hr, $1,600/day</w:t>
            </w:r>
          </w:p>
        </w:tc>
      </w:tr>
      <w:tr>
        <w:trPr>
          <w:cantSplit/>
        </w:trPr>
        <w:tc>
          <w:tcPr>
            <w:tcW w:type="dxa" w:w="5669"/>
          </w:tcPr>
          <w:p>
            <w:pPr>
              <w:keepNext/>
            </w:pPr>
            <w:r/>
            <w:r>
              <w:rPr>
                <w:sz w:val="17"/>
              </w:rPr>
              <w:t>Specialist Advice / Independent Peer Review</w:t>
            </w:r>
          </w:p>
        </w:tc>
        <w:tc>
          <w:tcPr>
            <w:tcW w:type="dxa" w:w="3969"/>
          </w:tcPr>
          <w:p>
            <w:pPr>
              <w:keepNext/>
            </w:pPr>
            <w:r/>
            <w:r>
              <w:rPr>
                <w:sz w:val="17"/>
              </w:rPr>
              <w:t>$200/hr, $1,600/day</w:t>
            </w:r>
          </w:p>
        </w:tc>
      </w:tr>
      <w:tr>
        <w:trPr>
          <w:cantSplit/>
        </w:trPr>
        <w:tc>
          <w:tcPr>
            <w:tcW w:type="dxa" w:w="5669"/>
          </w:tcPr>
          <w:p>
            <w:pPr>
              <w:keepNext/>
            </w:pPr>
            <w:r/>
            <w:r>
              <w:rPr>
                <w:sz w:val="17"/>
              </w:rPr>
              <w:t>Senior Engineer</w:t>
            </w:r>
          </w:p>
        </w:tc>
        <w:tc>
          <w:tcPr>
            <w:tcW w:type="dxa" w:w="3969"/>
          </w:tcPr>
          <w:p>
            <w:pPr>
              <w:keepNext/>
            </w:pPr>
            <w:r/>
            <w:r>
              <w:rPr>
                <w:sz w:val="17"/>
              </w:rPr>
              <w:t>$190/hr, $1,520/day</w:t>
            </w:r>
          </w:p>
        </w:tc>
      </w:tr>
      <w:tr>
        <w:trPr>
          <w:cantSplit/>
        </w:trPr>
        <w:tc>
          <w:tcPr>
            <w:tcW w:type="dxa" w:w="5669"/>
          </w:tcPr>
          <w:p>
            <w:pPr>
              <w:keepNext/>
            </w:pPr>
            <w:r/>
            <w:r>
              <w:rPr>
                <w:sz w:val="17"/>
              </w:rPr>
              <w:t>Project Engineer</w:t>
            </w:r>
          </w:p>
        </w:tc>
        <w:tc>
          <w:tcPr>
            <w:tcW w:type="dxa" w:w="3969"/>
          </w:tcPr>
          <w:p>
            <w:pPr>
              <w:keepNext/>
            </w:pPr>
            <w:r/>
            <w:r>
              <w:rPr>
                <w:sz w:val="17"/>
              </w:rPr>
              <w:t>$180/hr, $1,440/day</w:t>
            </w:r>
          </w:p>
        </w:tc>
      </w:tr>
      <w:tr>
        <w:trPr>
          <w:cantSplit/>
        </w:trPr>
        <w:tc>
          <w:tcPr>
            <w:tcW w:type="dxa" w:w="5669"/>
          </w:tcPr>
          <w:p>
            <w:pPr>
              <w:keepNext/>
            </w:pPr>
            <w:r/>
            <w:r>
              <w:rPr>
                <w:sz w:val="17"/>
              </w:rPr>
              <w:t>Design Engineer</w:t>
            </w:r>
          </w:p>
        </w:tc>
        <w:tc>
          <w:tcPr>
            <w:tcW w:type="dxa" w:w="3969"/>
          </w:tcPr>
          <w:p>
            <w:pPr>
              <w:keepNext/>
            </w:pPr>
            <w:r/>
            <w:r>
              <w:rPr>
                <w:sz w:val="17"/>
              </w:rPr>
              <w:t>$170/hr, $1,360/day</w:t>
            </w:r>
          </w:p>
        </w:tc>
      </w:tr>
      <w:tr>
        <w:trPr>
          <w:cantSplit/>
        </w:trPr>
        <w:tc>
          <w:tcPr>
            <w:tcW w:type="dxa" w:w="5669"/>
          </w:tcPr>
          <w:p>
            <w:pPr>
              <w:keepNext/>
            </w:pPr>
            <w:r/>
            <w:r>
              <w:rPr>
                <w:sz w:val="17"/>
              </w:rPr>
              <w:t>CAD / Drafting Technician</w:t>
            </w:r>
          </w:p>
        </w:tc>
        <w:tc>
          <w:tcPr>
            <w:tcW w:type="dxa" w:w="3969"/>
          </w:tcPr>
          <w:p>
            <w:pPr>
              <w:keepNext/>
            </w:pPr>
            <w:r/>
            <w:r>
              <w:rPr>
                <w:sz w:val="17"/>
              </w:rPr>
              <w:t>$160/hr, $1,280/day</w:t>
            </w:r>
          </w:p>
        </w:tc>
      </w:tr>
      <w:tr>
        <w:trPr>
          <w:cantSplit/>
        </w:trPr>
        <w:tc>
          <w:tcPr>
            <w:tcW w:type="dxa" w:w="5669"/>
          </w:tcPr>
          <w:p>
            <w:pPr>
              <w:keepNext/>
            </w:pPr>
            <w:r/>
            <w:r>
              <w:rPr>
                <w:sz w:val="17"/>
              </w:rPr>
              <w:t>Administration / Document Control</w:t>
            </w:r>
          </w:p>
        </w:tc>
        <w:tc>
          <w:tcPr>
            <w:tcW w:type="dxa" w:w="3969"/>
          </w:tcPr>
          <w:p>
            <w:pPr>
              <w:keepNext/>
            </w:pPr>
            <w:r/>
            <w:r>
              <w:rPr>
                <w:sz w:val="17"/>
              </w:rPr>
              <w:t>$140/hr, $1,120/day</w:t>
            </w:r>
          </w:p>
        </w:tc>
      </w:tr>
      <w:tr>
        <w:trPr>
          <w:cantSplit/>
        </w:trPr>
        <w:tc>
          <w:tcPr>
            <w:tcW w:type="dxa" w:w="5669"/>
          </w:tcPr>
          <w:p>
            <w:r/>
            <w:r>
              <w:rPr>
                <w:sz w:val="17"/>
              </w:rPr>
              <w:t>Sub-consultant services</w:t>
            </w:r>
          </w:p>
        </w:tc>
        <w:tc>
          <w:tcPr>
            <w:tcW w:type="dxa" w:w="3969"/>
          </w:tcPr>
          <w:p>
            <w:r/>
            <w:r>
              <w:rPr>
                <w:sz w:val="17"/>
              </w:rPr>
              <w:t>At cost + 10%</w:t>
            </w:r>
          </w:p>
        </w:tc>
      </w:tr>
    </w:tbl>
    <w:p>
      <w:pPr>
        <w:spacing w:after="40"/>
      </w:pPr>
    </w:p>
    <w:p>
      <w:pPr>
        <w:keepNext w:val="0"/>
      </w:pPr>
      <w:r>
        <w:rPr>
          <w:i w:val="0"/>
        </w:rPr>
        <w:t>Rates are exclusive of GST and fixed for the term of the Contract. A day is eight hours. Disbursements (printing, travel and authority fees) are charged at cost.</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JCE Infrastructure Pty Ltd  |  ABN 29 699 165 663  |  Fee proposal JCE-VP527224, RFQ 2026-092 Port Douglas Marine Industry Precinct Scoping Study  |  Rev G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