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pPr>
      <w:r>
        <w:rPr>
          <w:b/>
          <w:i w:val="0"/>
          <w:color w:val="000000"/>
          <w:sz w:val="40"/>
        </w:rPr>
        <w:t>FEE PROPOSAL</w:t>
      </w:r>
    </w:p>
    <w:p>
      <w:pPr>
        <w:pBdr>
          <w:bottom w:val="single" w:sz="12" w:space="1" w:color="C9A227"/>
        </w:pBdr>
      </w:pPr>
      <w:r>
        <w:rPr>
          <w:b/>
          <w:i w:val="0"/>
          <w:color w:val="C9A227"/>
          <w:sz w:val="24"/>
        </w:rPr>
        <w:t>Mid-Western Development Contributions Plan 2027  ·  RFQ2026_93 (MWRCCMS001497)</w:t>
      </w:r>
    </w:p>
    <w:tbl>
      <w:tblPr>
        <w:tblStyle w:val="TableGrid"/>
        <w:tblW w:type="auto" w:w="0"/>
        <w:tblLayout w:type="fixed"/>
        <w:tblLook w:firstColumn="1" w:firstRow="1" w:lastColumn="0" w:lastRow="0" w:noHBand="0" w:noVBand="1" w:val="04A0"/>
        <w:tblLayout w:type="fixed"/>
      </w:tblPr>
      <w:tblGrid>
        <w:gridCol w:w="2551"/>
        <w:gridCol w:w="7087"/>
      </w:tblGrid>
      <w:tr>
        <w:tc>
          <w:tcPr>
            <w:tcW w:type="dxa" w:w="2551"/>
            <w:shd w:val="clear" w:color="auto" w:fill="F6EFD6"/>
          </w:tcPr>
          <w:p>
            <w:r/>
            <w:r>
              <w:rPr>
                <w:b/>
                <w:i w:val="0"/>
                <w:sz w:val="18"/>
              </w:rPr>
              <w:t>Proposal no</w:t>
            </w:r>
          </w:p>
        </w:tc>
        <w:tc>
          <w:tcPr>
            <w:tcW w:type="dxa" w:w="7087"/>
          </w:tcPr>
          <w:p>
            <w:r/>
            <w:r>
              <w:rPr>
                <w:b w:val="0"/>
                <w:i w:val="0"/>
                <w:sz w:val="18"/>
              </w:rPr>
              <w:t>FP-[TBC - Jayden]</w:t>
            </w:r>
          </w:p>
        </w:tc>
      </w:tr>
      <w:tr>
        <w:tc>
          <w:tcPr>
            <w:tcW w:type="dxa" w:w="2551"/>
            <w:shd w:val="clear" w:color="auto" w:fill="F6EFD6"/>
          </w:tcPr>
          <w:p>
            <w:r/>
            <w:r>
              <w:rPr>
                <w:b/>
                <w:i w:val="0"/>
                <w:sz w:val="18"/>
              </w:rPr>
              <w:t>Revision</w:t>
            </w:r>
          </w:p>
        </w:tc>
        <w:tc>
          <w:tcPr>
            <w:tcW w:type="dxa" w:w="7087"/>
          </w:tcPr>
          <w:p>
            <w:r/>
            <w:r>
              <w:rPr>
                <w:b w:val="0"/>
                <w:i w:val="0"/>
                <w:sz w:val="18"/>
              </w:rPr>
              <w:t>H (for submission)</w:t>
            </w:r>
          </w:p>
        </w:tc>
      </w:tr>
      <w:tr>
        <w:tc>
          <w:tcPr>
            <w:tcW w:type="dxa" w:w="2551"/>
            <w:shd w:val="clear" w:color="auto" w:fill="F6EFD6"/>
          </w:tcPr>
          <w:p>
            <w:r/>
            <w:r>
              <w:rPr>
                <w:b/>
                <w:i w:val="0"/>
                <w:sz w:val="18"/>
              </w:rPr>
              <w:t>Date</w:t>
            </w:r>
          </w:p>
        </w:tc>
        <w:tc>
          <w:tcPr>
            <w:tcW w:type="dxa" w:w="7087"/>
          </w:tcPr>
          <w:p>
            <w:r/>
            <w:r>
              <w:rPr>
                <w:b w:val="0"/>
                <w:i w:val="0"/>
                <w:sz w:val="18"/>
              </w:rPr>
              <w:t>12/10/2026</w:t>
            </w:r>
          </w:p>
        </w:tc>
      </w:tr>
      <w:tr>
        <w:tc>
          <w:tcPr>
            <w:tcW w:type="dxa" w:w="2551"/>
            <w:shd w:val="clear" w:color="auto" w:fill="F6EFD6"/>
          </w:tcPr>
          <w:p>
            <w:r/>
            <w:r>
              <w:rPr>
                <w:b/>
                <w:i w:val="0"/>
                <w:sz w:val="18"/>
              </w:rPr>
              <w:t>Client</w:t>
            </w:r>
          </w:p>
        </w:tc>
        <w:tc>
          <w:tcPr>
            <w:tcW w:type="dxa" w:w="7087"/>
          </w:tcPr>
          <w:p>
            <w:r/>
            <w:r>
              <w:rPr>
                <w:b w:val="0"/>
                <w:i w:val="0"/>
                <w:sz w:val="18"/>
              </w:rPr>
              <w:t>Mid-Western Regional Council</w:t>
            </w:r>
          </w:p>
        </w:tc>
      </w:tr>
      <w:tr>
        <w:tc>
          <w:tcPr>
            <w:tcW w:type="dxa" w:w="2551"/>
            <w:shd w:val="clear" w:color="auto" w:fill="F6EFD6"/>
          </w:tcPr>
          <w:p>
            <w:r/>
            <w:r>
              <w:rPr>
                <w:b/>
                <w:i w:val="0"/>
                <w:sz w:val="18"/>
              </w:rPr>
              <w:t>Attention</w:t>
            </w:r>
          </w:p>
        </w:tc>
        <w:tc>
          <w:tcPr>
            <w:tcW w:type="dxa" w:w="7087"/>
          </w:tcPr>
          <w:p>
            <w:r/>
            <w:r>
              <w:rPr>
                <w:b w:val="0"/>
                <w:i w:val="0"/>
                <w:sz w:val="18"/>
              </w:rPr>
              <w:t>Zoe Gleeson, Coordinator, Strategic Planning</w:t>
            </w:r>
          </w:p>
        </w:tc>
      </w:tr>
      <w:tr>
        <w:tc>
          <w:tcPr>
            <w:tcW w:type="dxa" w:w="2551"/>
            <w:shd w:val="clear" w:color="auto" w:fill="F6EFD6"/>
          </w:tcPr>
          <w:p>
            <w:r/>
            <w:r>
              <w:rPr>
                <w:b/>
                <w:i w:val="0"/>
                <w:sz w:val="18"/>
              </w:rPr>
              <w:t>RFQ</w:t>
            </w:r>
          </w:p>
        </w:tc>
        <w:tc>
          <w:tcPr>
            <w:tcW w:type="dxa" w:w="7087"/>
          </w:tcPr>
          <w:p>
            <w:r/>
            <w:r>
              <w:rPr>
                <w:b w:val="0"/>
                <w:i w:val="0"/>
                <w:sz w:val="18"/>
              </w:rPr>
              <w:t>RFQ2026_93 (eProcure MWRCCMS001497), closing 2:00pm Monday 19/10/2026</w:t>
            </w:r>
          </w:p>
        </w:tc>
      </w:tr>
      <w:tr>
        <w:tc>
          <w:tcPr>
            <w:tcW w:type="dxa" w:w="2551"/>
            <w:shd w:val="clear" w:color="auto" w:fill="F6EFD6"/>
          </w:tcPr>
          <w:p>
            <w:r/>
            <w:r>
              <w:rPr>
                <w:b/>
                <w:i w:val="0"/>
                <w:sz w:val="18"/>
              </w:rPr>
              <w:t>Project</w:t>
            </w:r>
          </w:p>
        </w:tc>
        <w:tc>
          <w:tcPr>
            <w:tcW w:type="dxa" w:w="7087"/>
          </w:tcPr>
          <w:p>
            <w:r/>
            <w:r>
              <w:rPr>
                <w:b w:val="0"/>
                <w:i w:val="0"/>
                <w:sz w:val="18"/>
              </w:rPr>
              <w:t>Review of the Mid-Western Regional Contributions Plan 2019 and preparation of a new Section 7.11 and Section 7.12 Contributions Plan, including car parking and OSOM / heavy haulage contributions, and a Staff Contributions Administration Guide</w:t>
            </w:r>
          </w:p>
        </w:tc>
      </w:tr>
      <w:tr>
        <w:tc>
          <w:tcPr>
            <w:tcW w:type="dxa" w:w="2551"/>
            <w:shd w:val="clear" w:color="auto" w:fill="F6EFD6"/>
          </w:tcPr>
          <w:p>
            <w:r/>
            <w:r>
              <w:rPr>
                <w:b/>
                <w:i w:val="0"/>
                <w:sz w:val="18"/>
              </w:rPr>
              <w:t>Area</w:t>
            </w:r>
          </w:p>
        </w:tc>
        <w:tc>
          <w:tcPr>
            <w:tcW w:type="dxa" w:w="7087"/>
          </w:tcPr>
          <w:p>
            <w:r/>
            <w:r>
              <w:rPr>
                <w:b w:val="0"/>
                <w:i w:val="0"/>
                <w:sz w:val="18"/>
              </w:rPr>
              <w:t>Mid-Western Regional LGA, NSW</w:t>
            </w:r>
          </w:p>
        </w:tc>
      </w:tr>
      <w:tr>
        <w:tc>
          <w:tcPr>
            <w:tcW w:type="dxa" w:w="2551"/>
            <w:shd w:val="clear" w:color="auto" w:fill="F6EFD6"/>
          </w:tcPr>
          <w:p>
            <w:r/>
            <w:r>
              <w:rPr>
                <w:b/>
                <w:i w:val="0"/>
                <w:sz w:val="18"/>
              </w:rPr>
              <w:t>Prepared and reviewed by</w:t>
            </w:r>
          </w:p>
        </w:tc>
        <w:tc>
          <w:tcPr>
            <w:tcW w:type="dxa" w:w="7087"/>
          </w:tcPr>
          <w:p>
            <w:r/>
            <w:r>
              <w:rPr>
                <w:b w:val="0"/>
                <w:i w:val="0"/>
                <w:sz w:val="18"/>
              </w:rPr>
              <w:t>Jayden Callen, Director</w:t>
            </w:r>
          </w:p>
        </w:tc>
      </w:tr>
    </w:tbl>
    <w:p/>
    <w:p>
      <w:r>
        <w:rPr>
          <w:b w:val="0"/>
          <w:i w:val="0"/>
        </w:rPr>
        <w:t>Dear Ms Gleeson,</w:t>
      </w:r>
    </w:p>
    <w:p>
      <w:r>
        <w:rPr>
          <w:b w:val="0"/>
          <w:i w:val="0"/>
        </w:rPr>
        <w:t>JCE Infrastructure (JCE) submits this proposal in response to Council's RFQ2026_93 for the Mid-Western Development Contributions Plan 2027: a review of the Mid-Western Regional Contributions Plan 2019 and preparation of a new Section 7.11 and Section 7.12 Contributions Plan, with provisions for car parking and OSOM / heavy haulage contributions and a Staff Contributions Administration Guide.</w:t>
      </w:r>
    </w:p>
    <w:p>
      <w:r>
        <w:rPr>
          <w:b w:val="0"/>
          <w:i w:val="0"/>
        </w:rPr>
        <w:t>JCE will deliver the project as lead consultant. Jayden Callen, JCE's Director, leads the commission personally and is Council's single point of contact. He is supported by a specialist NSW contributions planner, who leads the plan structure, nexus, apportionment and drafting, and by Sunny Lotay (RPEQ, NER), JCE's associate certifying engineer, who independently reviews the engineering outputs. JCE prepares the infrastructure inputs: works schedules and costs for transport and stormwater items, the car parking cost basis, and the OSOM / heavy haulage contribution.</w:t>
      </w:r>
    </w:p>
    <w:p>
      <w:r>
        <w:rPr>
          <w:b w:val="0"/>
          <w:i w:val="0"/>
        </w:rPr>
        <w:t>Jayden has worked for a regional council in Far North Queensland, where he shortlisted consultants for a council tender, and while at Langtree Consulting Engineers he delivered engineering for Tablelands Regional Council, including the Ravenshoe leachate storage facility (2025). He knows what a council officer needs after award: clear hold points, no surprises on scope or fee, and records Council can audit.</w:t>
      </w:r>
    </w:p>
    <w:p>
      <w:r>
        <w:rPr>
          <w:b w:val="0"/>
          <w:i w:val="0"/>
        </w:rPr>
        <w:t>Our lump sum price is $147,599.88 excluding GST ($162,359.87 including GST), broken down by Council's three stages in Section 6.</w:t>
      </w:r>
    </w:p>
    <w:p>
      <w:r>
        <w:rPr>
          <w:b w:val="0"/>
          <w:i w:val="0"/>
        </w:rPr>
        <w:t>Please contact me on 0477 207 027 or jayden@jceinfrastructure.com.au with any questions.</w:t>
      </w:r>
    </w:p>
    <w:p>
      <w:pPr>
        <w:keepNext/>
      </w:pPr>
      <w:r>
        <w:rPr>
          <w:b w:val="0"/>
          <w:i w:val="0"/>
        </w:rPr>
        <w:t>Yours faithfully,</w:t>
      </w:r>
    </w:p>
    <w:p>
      <w:pPr>
        <w:keepNext/>
      </w:pPr>
      <w:r>
        <w:rPr>
          <w:b w:val="0"/>
          <w:i w:val="0"/>
        </w:rPr>
        <w:t>[signature]</w:t>
      </w:r>
    </w:p>
    <w:p>
      <w:pPr>
        <w:keepNext/>
      </w:pPr>
      <w:r>
        <w:rPr>
          <w:b/>
          <w:i w:val="0"/>
        </w:rPr>
        <w:t>Jayden Callen</w:t>
      </w:r>
    </w:p>
    <w:p>
      <w:r>
        <w:rPr>
          <w:b w:val="0"/>
          <w:i w:val="0"/>
        </w:rPr>
        <w:t>Director, JCE Infrastructure Pty Ltd</w:t>
      </w:r>
    </w:p>
    <w:p>
      <w:r>
        <w:br w:type="page"/>
      </w:r>
    </w:p>
    <w:p>
      <w:pPr>
        <w:keepNext/>
        <w:spacing w:before="240" w:after="80"/>
        <w:pBdr>
          <w:bottom w:val="single" w:sz="8" w:space="1" w:color="C9A227"/>
        </w:pBdr>
      </w:pPr>
      <w:r>
        <w:rPr>
          <w:b/>
          <w:i w:val="0"/>
          <w:color w:val="000000"/>
          <w:sz w:val="26"/>
        </w:rPr>
        <w:t>1. Understanding and expected benefits to Council</w:t>
      </w:r>
    </w:p>
    <w:p>
      <w:r>
        <w:rPr>
          <w:b w:val="0"/>
          <w:i w:val="0"/>
        </w:rPr>
        <w:t>Council's Contributions Plan was adopted in 2019. Since then growth rates and patterns, strategic priorities and infrastructure needs across the region have changed. Council's adopted Housing Strategy and Employment Lands Strategy, the future Mudgee Town Centre Growth Strategy, and the Central-West Orana Renewable Energy Zone (REZ) all bear on where development will occur and what infrastructure it will need. The 2019 Plan also has gaps: there is no contribution for car parking in the Mudgee CBD, and Council's draft Heavy Vehicle (OSOM) Contributions Plan sits outside it.</w:t>
      </w:r>
    </w:p>
    <w:p>
      <w:r>
        <w:rPr>
          <w:b w:val="0"/>
          <w:i w:val="0"/>
        </w:rPr>
        <w:t>Council wants a new Section 7.11 and Section 7.12 Contributions Plan that reflects current and likely future development, aligns with its strategic plans and infrastructure priorities, and is clear and practical for staff to administer.</w:t>
      </w:r>
    </w:p>
    <w:p>
      <w:pPr>
        <w:keepNext/>
        <w:spacing w:before="120" w:after="40"/>
      </w:pPr>
      <w:r>
        <w:rPr>
          <w:b/>
          <w:i w:val="0"/>
          <w:color w:val="C9A227"/>
          <w:sz w:val="21"/>
        </w:rPr>
        <w:t>How JCE will deliver the expected benefits</w:t>
      </w:r>
    </w:p>
    <w:tbl>
      <w:tblPr>
        <w:tblStyle w:val="TableGrid"/>
        <w:tblW w:type="auto" w:w="0"/>
        <w:jc w:val="center"/>
        <w:tblLayout w:type="fixed"/>
        <w:tblLook w:firstColumn="1" w:firstRow="1" w:lastColumn="0" w:lastRow="0" w:noHBand="0" w:noVBand="1" w:val="04A0"/>
        <w:tblLayout w:type="fixed"/>
      </w:tblPr>
      <w:tblGrid>
        <w:gridCol w:w="3118"/>
        <w:gridCol w:w="6520"/>
      </w:tblGrid>
      <w:tr>
        <w:trPr>
          <w:cantSplit/>
        </w:trPr>
        <w:tc>
          <w:tcPr>
            <w:tcW w:type="dxa" w:w="3118"/>
            <w:shd w:val="clear" w:color="auto" w:fill="1A1A1A"/>
          </w:tcPr>
          <w:p>
            <w:pPr>
              <w:keepNext/>
              <w:spacing w:after="20"/>
            </w:pPr>
            <w:r/>
            <w:r>
              <w:rPr>
                <w:b/>
                <w:i w:val="0"/>
                <w:color w:val="FFFFFF"/>
                <w:sz w:val="18"/>
              </w:rPr>
              <w:t>Benefit sought by Council</w:t>
            </w:r>
          </w:p>
        </w:tc>
        <w:tc>
          <w:tcPr>
            <w:tcW w:type="dxa" w:w="6520"/>
            <w:shd w:val="clear" w:color="auto" w:fill="1A1A1A"/>
          </w:tcPr>
          <w:p>
            <w:pPr>
              <w:keepNext/>
              <w:spacing w:after="20"/>
            </w:pPr>
            <w:r/>
            <w:r>
              <w:rPr>
                <w:b/>
                <w:i w:val="0"/>
                <w:color w:val="FFFFFF"/>
                <w:sz w:val="18"/>
              </w:rPr>
              <w:t>How JCE will achieve it</w:t>
            </w:r>
          </w:p>
        </w:tc>
      </w:tr>
      <w:tr>
        <w:trPr>
          <w:cantSplit/>
        </w:trPr>
        <w:tc>
          <w:tcPr>
            <w:tcW w:type="dxa" w:w="3118"/>
          </w:tcPr>
          <w:p>
            <w:pPr>
              <w:keepNext/>
              <w:spacing w:after="20"/>
            </w:pPr>
            <w:r/>
            <w:r>
              <w:rPr>
                <w:b w:val="0"/>
                <w:i w:val="0"/>
                <w:sz w:val="18"/>
              </w:rPr>
              <w:t>An updated framework that reflects current development, infrastructure needs and strategic priorities</w:t>
            </w:r>
          </w:p>
        </w:tc>
        <w:tc>
          <w:tcPr>
            <w:tcW w:type="dxa" w:w="6520"/>
          </w:tcPr>
          <w:p>
            <w:pPr>
              <w:keepNext/>
              <w:spacing w:after="20"/>
            </w:pPr>
            <w:r/>
            <w:r>
              <w:rPr>
                <w:b w:val="0"/>
                <w:i w:val="0"/>
                <w:sz w:val="18"/>
              </w:rPr>
              <w:t>Growth and land release taken from Council's adopted strategies; every works item checked against Council's Delivery Program, Operational Plan and infrastructure planning documents; works costed on one documented basis and reviewed by Sunny Lotay before issue.</w:t>
            </w:r>
          </w:p>
        </w:tc>
      </w:tr>
      <w:tr>
        <w:trPr>
          <w:cantSplit/>
        </w:trPr>
        <w:tc>
          <w:tcPr>
            <w:tcW w:type="dxa" w:w="3118"/>
          </w:tcPr>
          <w:p>
            <w:pPr>
              <w:keepNext/>
              <w:spacing w:after="20"/>
            </w:pPr>
            <w:r/>
            <w:r>
              <w:rPr>
                <w:b w:val="0"/>
                <w:i w:val="0"/>
                <w:sz w:val="18"/>
              </w:rPr>
              <w:t>Clearer and more consistent application of contributions</w:t>
            </w:r>
          </w:p>
        </w:tc>
        <w:tc>
          <w:tcPr>
            <w:tcW w:type="dxa" w:w="6520"/>
          </w:tcPr>
          <w:p>
            <w:pPr>
              <w:keepNext/>
              <w:spacing w:after="20"/>
            </w:pPr>
            <w:r/>
            <w:r>
              <w:rPr>
                <w:b w:val="0"/>
                <w:i w:val="0"/>
                <w:sz w:val="18"/>
              </w:rPr>
              <w:t>Plain-English plan structure; clear tables of contribution rates by development type and catchment; exemptions, credits and timing of payment set out in one place; a Staff Contributions Administration Guide with worked examples.</w:t>
            </w:r>
          </w:p>
        </w:tc>
      </w:tr>
      <w:tr>
        <w:trPr>
          <w:cantSplit/>
        </w:trPr>
        <w:tc>
          <w:tcPr>
            <w:tcW w:type="dxa" w:w="3118"/>
          </w:tcPr>
          <w:p>
            <w:pPr>
              <w:keepNext/>
              <w:spacing w:after="20"/>
            </w:pPr>
            <w:r/>
            <w:r>
              <w:rPr>
                <w:b w:val="0"/>
                <w:i w:val="0"/>
                <w:sz w:val="18"/>
              </w:rPr>
              <w:t>A plan Council can administer and defend</w:t>
            </w:r>
          </w:p>
        </w:tc>
        <w:tc>
          <w:tcPr>
            <w:tcW w:type="dxa" w:w="6520"/>
          </w:tcPr>
          <w:p>
            <w:pPr>
              <w:keepNext/>
              <w:spacing w:after="20"/>
            </w:pPr>
            <w:r/>
            <w:r>
              <w:rPr>
                <w:b w:val="0"/>
                <w:i w:val="0"/>
                <w:sz w:val="18"/>
              </w:rPr>
              <w:t>Nexus and apportionment documented for each item; calculations in an editable spreadsheet Council keeps; IPART threshold checked before exhibition; GIS layers for MapInfo.</w:t>
            </w:r>
          </w:p>
        </w:tc>
      </w:tr>
      <w:tr>
        <w:trPr>
          <w:cantSplit/>
        </w:trPr>
        <w:tc>
          <w:tcPr>
            <w:tcW w:type="dxa" w:w="3118"/>
          </w:tcPr>
          <w:p>
            <w:pPr>
              <w:keepNext w:val="0"/>
              <w:spacing w:after="20"/>
            </w:pPr>
            <w:r/>
            <w:r>
              <w:rPr>
                <w:b w:val="0"/>
                <w:i w:val="0"/>
                <w:sz w:val="18"/>
              </w:rPr>
              <w:t>Gaps in the 2019 Plan addressed</w:t>
            </w:r>
          </w:p>
        </w:tc>
        <w:tc>
          <w:tcPr>
            <w:tcW w:type="dxa" w:w="6520"/>
          </w:tcPr>
          <w:p>
            <w:pPr>
              <w:keepNext w:val="0"/>
              <w:spacing w:after="20"/>
            </w:pPr>
            <w:r/>
            <w:r>
              <w:rPr>
                <w:b w:val="0"/>
                <w:i w:val="0"/>
                <w:sz w:val="18"/>
              </w:rPr>
              <w:t>Car parking contribution rate built from the cost per space in the Mudgee Town Centre; the draft OSOM plan reviewed and incorporated; REZ-related impacts tested in Stage 2.</w:t>
            </w:r>
          </w:p>
        </w:tc>
      </w:tr>
    </w:tbl>
    <w:p>
      <w:pPr>
        <w:spacing w:after="40"/>
      </w:pPr>
    </w:p>
    <w:p>
      <w:pPr>
        <w:keepNext/>
        <w:spacing w:before="120" w:after="40"/>
      </w:pPr>
      <w:r>
        <w:rPr>
          <w:b/>
          <w:i w:val="0"/>
          <w:color w:val="C9A227"/>
          <w:sz w:val="21"/>
        </w:rPr>
        <w:t>Key risks and how JCE will manage them</w:t>
      </w:r>
    </w:p>
    <w:tbl>
      <w:tblPr>
        <w:tblStyle w:val="TableGrid"/>
        <w:tblW w:type="auto" w:w="0"/>
        <w:jc w:val="center"/>
        <w:tblLayout w:type="fixed"/>
        <w:tblLook w:firstColumn="1" w:firstRow="1" w:lastColumn="0" w:lastRow="0" w:noHBand="0" w:noVBand="1" w:val="04A0"/>
        <w:tblLayout w:type="fixed"/>
      </w:tblPr>
      <w:tblGrid>
        <w:gridCol w:w="3118"/>
        <w:gridCol w:w="6520"/>
      </w:tblGrid>
      <w:tr>
        <w:trPr>
          <w:cantSplit/>
        </w:trPr>
        <w:tc>
          <w:tcPr>
            <w:tcW w:type="dxa" w:w="3118"/>
            <w:shd w:val="clear" w:color="auto" w:fill="1A1A1A"/>
          </w:tcPr>
          <w:p>
            <w:pPr>
              <w:keepNext/>
              <w:spacing w:after="20"/>
            </w:pPr>
            <w:r/>
            <w:r>
              <w:rPr>
                <w:b/>
                <w:i w:val="0"/>
                <w:color w:val="FFFFFF"/>
                <w:sz w:val="18"/>
              </w:rPr>
              <w:t>Risk</w:t>
            </w:r>
          </w:p>
        </w:tc>
        <w:tc>
          <w:tcPr>
            <w:tcW w:type="dxa" w:w="6520"/>
            <w:shd w:val="clear" w:color="auto" w:fill="1A1A1A"/>
          </w:tcPr>
          <w:p>
            <w:pPr>
              <w:keepNext/>
              <w:spacing w:after="20"/>
            </w:pPr>
            <w:r/>
            <w:r>
              <w:rPr>
                <w:b/>
                <w:i w:val="0"/>
                <w:color w:val="FFFFFF"/>
                <w:sz w:val="18"/>
              </w:rPr>
              <w:t>JCE response</w:t>
            </w:r>
          </w:p>
        </w:tc>
      </w:tr>
      <w:tr>
        <w:trPr>
          <w:cantSplit/>
        </w:trPr>
        <w:tc>
          <w:tcPr>
            <w:tcW w:type="dxa" w:w="3118"/>
          </w:tcPr>
          <w:p>
            <w:pPr>
              <w:keepNext/>
              <w:spacing w:after="20"/>
            </w:pPr>
            <w:r/>
            <w:r>
              <w:rPr>
                <w:b w:val="0"/>
                <w:i w:val="0"/>
                <w:sz w:val="18"/>
              </w:rPr>
              <w:t>Christmas and New Year shutdown delays Stage 2</w:t>
            </w:r>
          </w:p>
        </w:tc>
        <w:tc>
          <w:tcPr>
            <w:tcW w:type="dxa" w:w="6520"/>
          </w:tcPr>
          <w:p>
            <w:pPr>
              <w:keepNext/>
              <w:spacing w:after="20"/>
            </w:pPr>
            <w:r/>
            <w:r>
              <w:rPr>
                <w:b w:val="0"/>
                <w:i w:val="0"/>
                <w:sz w:val="18"/>
              </w:rPr>
              <w:t>Stage 2 data requests issued in Stage 1; discussion paper drafted before the shutdown and finalised in January 2027.</w:t>
            </w:r>
          </w:p>
        </w:tc>
      </w:tr>
      <w:tr>
        <w:trPr>
          <w:cantSplit/>
        </w:trPr>
        <w:tc>
          <w:tcPr>
            <w:tcW w:type="dxa" w:w="3118"/>
          </w:tcPr>
          <w:p>
            <w:pPr>
              <w:keepNext/>
              <w:spacing w:after="20"/>
            </w:pPr>
            <w:r/>
            <w:r>
              <w:rPr>
                <w:b w:val="0"/>
                <w:i w:val="0"/>
                <w:sz w:val="18"/>
              </w:rPr>
              <w:t>Council meeting cycle and exhibition push out the final plan</w:t>
            </w:r>
          </w:p>
        </w:tc>
        <w:tc>
          <w:tcPr>
            <w:tcW w:type="dxa" w:w="6520"/>
          </w:tcPr>
          <w:p>
            <w:pPr>
              <w:keepNext/>
              <w:spacing w:after="20"/>
            </w:pPr>
            <w:r/>
            <w:r>
              <w:rPr>
                <w:b w:val="0"/>
                <w:i w:val="0"/>
                <w:sz w:val="18"/>
              </w:rPr>
              <w:t>Council's meeting dates confirmed at inception and the program built backwards from the target adoption meeting in May 2027.</w:t>
            </w:r>
          </w:p>
        </w:tc>
      </w:tr>
      <w:tr>
        <w:trPr>
          <w:cantSplit/>
        </w:trPr>
        <w:tc>
          <w:tcPr>
            <w:tcW w:type="dxa" w:w="3118"/>
          </w:tcPr>
          <w:p>
            <w:pPr>
              <w:keepNext/>
              <w:spacing w:after="20"/>
            </w:pPr>
            <w:r/>
            <w:r>
              <w:rPr>
                <w:b w:val="0"/>
                <w:i w:val="0"/>
                <w:sz w:val="18"/>
              </w:rPr>
              <w:t>Works costs out of date or inconsistent</w:t>
            </w:r>
          </w:p>
        </w:tc>
        <w:tc>
          <w:tcPr>
            <w:tcW w:type="dxa" w:w="6520"/>
          </w:tcPr>
          <w:p>
            <w:pPr>
              <w:keepNext/>
              <w:spacing w:after="20"/>
            </w:pPr>
            <w:r/>
            <w:r>
              <w:rPr>
                <w:b w:val="0"/>
                <w:i w:val="0"/>
                <w:sz w:val="18"/>
              </w:rPr>
              <w:t>One costing basis (unit rates, on-costs, design and contingency allowances), documented and independently reviewed.</w:t>
            </w:r>
          </w:p>
        </w:tc>
      </w:tr>
      <w:tr>
        <w:trPr>
          <w:cantSplit/>
        </w:trPr>
        <w:tc>
          <w:tcPr>
            <w:tcW w:type="dxa" w:w="3118"/>
          </w:tcPr>
          <w:p>
            <w:pPr>
              <w:keepNext/>
              <w:spacing w:after="20"/>
            </w:pPr>
            <w:r/>
            <w:r>
              <w:rPr>
                <w:b w:val="0"/>
                <w:i w:val="0"/>
                <w:sz w:val="18"/>
              </w:rPr>
              <w:t>Heavy haulage and REZ contributions are hard to defend</w:t>
            </w:r>
          </w:p>
        </w:tc>
        <w:tc>
          <w:tcPr>
            <w:tcW w:type="dxa" w:w="6520"/>
          </w:tcPr>
          <w:p>
            <w:pPr>
              <w:keepNext/>
              <w:spacing w:after="20"/>
            </w:pPr>
            <w:r/>
            <w:r>
              <w:rPr>
                <w:b w:val="0"/>
                <w:i w:val="0"/>
                <w:sz w:val="18"/>
              </w:rPr>
              <w:t>Rates built from haulage volumes, routes, ESA loading and pavement costs, building on Council's draft OSOM plan; options tested in the Stage 2 discussion paper before any rate is set.</w:t>
            </w:r>
          </w:p>
        </w:tc>
      </w:tr>
      <w:tr>
        <w:trPr>
          <w:cantSplit/>
        </w:trPr>
        <w:tc>
          <w:tcPr>
            <w:tcW w:type="dxa" w:w="3118"/>
          </w:tcPr>
          <w:p>
            <w:pPr>
              <w:keepNext w:val="0"/>
              <w:spacing w:after="20"/>
            </w:pPr>
            <w:r/>
            <w:r>
              <w:rPr>
                <w:b w:val="0"/>
                <w:i w:val="0"/>
                <w:sz w:val="18"/>
              </w:rPr>
              <w:t>Rates exceed the IPART review threshold</w:t>
            </w:r>
          </w:p>
        </w:tc>
        <w:tc>
          <w:tcPr>
            <w:tcW w:type="dxa" w:w="6520"/>
          </w:tcPr>
          <w:p>
            <w:pPr>
              <w:keepNext w:val="0"/>
              <w:spacing w:after="20"/>
            </w:pPr>
            <w:r/>
            <w:r>
              <w:rPr>
                <w:b w:val="0"/>
                <w:i w:val="0"/>
                <w:sz w:val="18"/>
              </w:rPr>
              <w:t>Rates checked against the threshold at the draft stage so Council can decide on scope or apportionment before exhibition.</w:t>
            </w:r>
          </w:p>
        </w:tc>
      </w:tr>
    </w:tbl>
    <w:p>
      <w:pPr>
        <w:spacing w:after="40"/>
      </w:pPr>
    </w:p>
    <w:p>
      <w:pPr>
        <w:keepNext/>
        <w:spacing w:before="240" w:after="80"/>
        <w:pBdr>
          <w:bottom w:val="single" w:sz="8" w:space="1" w:color="C9A227"/>
        </w:pBdr>
      </w:pPr>
      <w:r>
        <w:rPr>
          <w:b/>
          <w:i w:val="0"/>
          <w:color w:val="000000"/>
          <w:sz w:val="26"/>
        </w:rPr>
        <w:t>2. Response to the scope of works and key deliverables</w:t>
      </w:r>
    </w:p>
    <w:p>
      <w:r>
        <w:rPr>
          <w:b w:val="0"/>
          <w:i w:val="0"/>
        </w:rPr>
        <w:t>JCE will deliver Council's three stages as set out in the RFQ. The lead for each task is shown. Council confirms the output at each hold point (HP) before the next stage starts. All project meetings are held on Microsoft Teams.</w:t>
      </w:r>
    </w:p>
    <w:p>
      <w:pPr>
        <w:keepNext/>
        <w:spacing w:before="120" w:after="40"/>
      </w:pPr>
      <w:r>
        <w:rPr>
          <w:b/>
          <w:i w:val="0"/>
          <w:color w:val="C9A227"/>
          <w:sz w:val="21"/>
        </w:rPr>
        <w:t>Project management (all stages)</w:t>
      </w:r>
    </w:p>
    <w:p>
      <w:pPr>
        <w:pStyle w:val="ListBullet"/>
        <w:keepNext/>
        <w:spacing w:after="40"/>
      </w:pPr>
      <w:r>
        <w:rPr>
          <w:b w:val="0"/>
          <w:i w:val="0"/>
        </w:rPr>
        <w:t>Jayden Callen manages the team to one program, with fortnightly progress updates, one comments and actions register, and quality review before anything reaches Council.</w:t>
      </w:r>
    </w:p>
    <w:p>
      <w:pPr>
        <w:pStyle w:val="ListBullet"/>
        <w:keepNext/>
        <w:spacing w:after="40"/>
      </w:pPr>
      <w:r>
        <w:rPr>
          <w:b w:val="0"/>
          <w:i w:val="0"/>
        </w:rPr>
        <w:t>Sunny Lotay (RPEQ, NER) independently reviews the works schedules, cost estimates and heavy haulage calculations before issue, and is backup project lead.</w:t>
      </w:r>
    </w:p>
    <w:p>
      <w:pPr>
        <w:pStyle w:val="ListBullet"/>
        <w:spacing w:after="40"/>
      </w:pPr>
      <w:r>
        <w:rPr>
          <w:b w:val="0"/>
          <w:i w:val="0"/>
        </w:rPr>
        <w:t>Quality assurance review of every deliverable for consistent style, formatting, spelling and grammar. All documents are issued in PDF and Microsoft Word, consistent with WCAG 2.0 (or the current version), with GIS layers for Council's MapInfo.</w:t>
      </w:r>
    </w:p>
    <w:p>
      <w:pPr>
        <w:keepNext/>
        <w:spacing w:before="120" w:after="40"/>
      </w:pPr>
      <w:r>
        <w:rPr>
          <w:b/>
          <w:i w:val="0"/>
          <w:color w:val="C9A227"/>
          <w:sz w:val="21"/>
        </w:rPr>
        <w:t>Stage 1: Project inception and review (within 4 weeks; early December 2026)</w:t>
      </w:r>
    </w:p>
    <w:p>
      <w:pPr>
        <w:pStyle w:val="ListBullet"/>
        <w:keepNext/>
        <w:spacing w:after="40"/>
      </w:pPr>
      <w:r>
        <w:rPr>
          <w:b w:val="0"/>
          <w:i w:val="0"/>
        </w:rPr>
        <w:t>Project commencement meeting with Council's project team to confirm objectives, data, program, Council meeting dates and communication.</w:t>
      </w:r>
    </w:p>
    <w:p>
      <w:pPr>
        <w:pStyle w:val="ListBullet"/>
        <w:keepNext/>
        <w:spacing w:after="40"/>
      </w:pPr>
      <w:r>
        <w:rPr>
          <w:b w:val="0"/>
          <w:i w:val="0"/>
        </w:rPr>
        <w:t>Familiarisation with the region and Council's strategic policies: Housing Strategy, Employment Lands Strategy, the Mudgee Town Centre Growth Strategy (as available), Delivery Program, Operational Plan, studies and infrastructure planning documents.</w:t>
      </w:r>
    </w:p>
    <w:p>
      <w:pPr>
        <w:pStyle w:val="ListBullet"/>
        <w:keepNext/>
        <w:spacing w:after="40"/>
      </w:pPr>
      <w:r>
        <w:rPr>
          <w:b w:val="0"/>
          <w:i w:val="0"/>
        </w:rPr>
        <w:t>Planning partner: evaluation of the 2019 Plan against legislative and policy requirements and approaches of comparable NSW councils: application, development types, mechanisms, rates, catchments, exemptions, credits, timing of payment and administration.</w:t>
      </w:r>
    </w:p>
    <w:p>
      <w:pPr>
        <w:pStyle w:val="ListBullet"/>
        <w:keepNext/>
        <w:spacing w:after="40"/>
      </w:pPr>
      <w:r>
        <w:rPr>
          <w:b w:val="0"/>
          <w:i w:val="0"/>
        </w:rPr>
        <w:t>JCE: review of the infrastructure schedules: works delivered and outstanding, costs, indexation, and items to carry forward, re-scope or remove.</w:t>
      </w:r>
    </w:p>
    <w:p>
      <w:pPr>
        <w:pStyle w:val="ListBullet"/>
        <w:spacing w:after="40"/>
      </w:pPr>
      <w:r>
        <w:rPr>
          <w:b w:val="0"/>
          <w:i w:val="0"/>
        </w:rPr>
        <w:t>Deliverable: Evaluation report of the existing Contributions Plan, with key findings and a recommended approach for the new plan (HP1).</w:t>
      </w:r>
    </w:p>
    <w:p>
      <w:pPr>
        <w:keepNext/>
        <w:spacing w:before="120" w:after="40"/>
      </w:pPr>
      <w:r>
        <w:rPr>
          <w:b/>
          <w:i w:val="0"/>
          <w:color w:val="C9A227"/>
          <w:sz w:val="21"/>
        </w:rPr>
        <w:t>Stage 2: Contributions framework (within 8 weeks; mid to late January 2027)</w:t>
      </w:r>
    </w:p>
    <w:p>
      <w:pPr>
        <w:pStyle w:val="ListBullet"/>
        <w:keepNext/>
        <w:spacing w:after="40"/>
      </w:pPr>
      <w:r>
        <w:rPr>
          <w:b w:val="0"/>
          <w:i w:val="0"/>
        </w:rPr>
        <w:t>Planning partner: develop and test the framework having regard to anticipated growth, infrastructure demand and nexus, including the application and interaction of Section 7.11 contributions and Section 7.12 levies across development types and locations.</w:t>
      </w:r>
    </w:p>
    <w:p>
      <w:pPr>
        <w:pStyle w:val="ListBullet"/>
        <w:keepNext/>
        <w:spacing w:after="40"/>
      </w:pPr>
      <w:r>
        <w:rPr>
          <w:b w:val="0"/>
          <w:i w:val="0"/>
        </w:rPr>
        <w:t>JCE: infrastructure demand for transport and stormwater; review of Council's draft OSOM / heavy haulage contributions plan (haul routes, volumes, ESA loading, pavement costs); cost basis for car parking in the Mudgee Town Centre; road and infrastructure impacts of REZ-related development.</w:t>
      </w:r>
    </w:p>
    <w:p>
      <w:pPr>
        <w:pStyle w:val="ListBullet"/>
        <w:spacing w:after="40"/>
      </w:pPr>
      <w:r>
        <w:rPr>
          <w:b w:val="0"/>
          <w:i w:val="0"/>
        </w:rPr>
        <w:t>Deliverable: Short discussion paper on the recommended framework, the key options considered and the recommended approach, for Council's review (HP2).</w:t>
      </w:r>
    </w:p>
    <w:p>
      <w:pPr>
        <w:keepNext/>
        <w:spacing w:before="120" w:after="40"/>
      </w:pPr>
      <w:r>
        <w:rPr>
          <w:b/>
          <w:i w:val="0"/>
          <w:color w:val="C9A227"/>
          <w:sz w:val="21"/>
        </w:rPr>
        <w:t>Stage 3: Preparation of the new Contributions Plan (draft within 14 weeks; final within 26 weeks; May 2027)</w:t>
      </w:r>
    </w:p>
    <w:p>
      <w:pPr>
        <w:pStyle w:val="ListBullet"/>
        <w:keepNext/>
        <w:spacing w:after="40"/>
      </w:pPr>
      <w:r>
        <w:rPr>
          <w:b w:val="0"/>
          <w:i w:val="0"/>
        </w:rPr>
        <w:t>JCE: works schedules, cost estimates and mapping for transport, stormwater, car parking and heavy haulage items. Cost planner: estimates for community, recreation and open space facilities where Council does not hold current costs.</w:t>
      </w:r>
    </w:p>
    <w:p>
      <w:pPr>
        <w:pStyle w:val="ListBullet"/>
        <w:keepNext/>
        <w:spacing w:after="40"/>
      </w:pPr>
      <w:r>
        <w:rPr>
          <w:b w:val="0"/>
          <w:i w:val="0"/>
        </w:rPr>
        <w:t>Planning partner: draft Contributions Plan with calculations, rates, works schedules, mapping and administration provisions, for public exhibition (HP3).</w:t>
      </w:r>
    </w:p>
    <w:p>
      <w:pPr>
        <w:pStyle w:val="ListBullet"/>
        <w:keepNext/>
        <w:spacing w:after="40"/>
      </w:pPr>
      <w:r>
        <w:rPr>
          <w:b w:val="0"/>
          <w:i w:val="0"/>
        </w:rPr>
        <w:t>Support through exhibition and finalisation: review of submissions, post-exhibition amendments and the final Contributions Plan.</w:t>
      </w:r>
    </w:p>
    <w:p>
      <w:pPr>
        <w:pStyle w:val="ListBullet"/>
        <w:keepNext/>
        <w:spacing w:after="40"/>
      </w:pPr>
      <w:r>
        <w:rPr>
          <w:b w:val="0"/>
          <w:i w:val="0"/>
        </w:rPr>
        <w:t>One virtual and one in-person briefing with Council staff outside the project team and Councillors.</w:t>
      </w:r>
    </w:p>
    <w:p>
      <w:pPr>
        <w:pStyle w:val="ListBullet"/>
        <w:spacing w:after="40"/>
      </w:pPr>
      <w:r>
        <w:rPr>
          <w:b w:val="0"/>
          <w:i w:val="0"/>
        </w:rPr>
        <w:t>Staff Contributions Administration Guide: when contributions apply, how they are calculated, levied and paid, and how exemptions, credits and other common scenarios are handled.</w:t>
      </w:r>
    </w:p>
    <w:p>
      <w:r>
        <w:rPr>
          <w:b w:val="0"/>
          <w:i w:val="0"/>
        </w:rPr>
        <w:t>The price includes four revisions of draft documents, as required by the RFQ.</w:t>
      </w:r>
    </w:p>
    <w:p>
      <w:pPr>
        <w:keepNext/>
        <w:spacing w:before="120" w:after="40"/>
      </w:pPr>
      <w:r>
        <w:rPr>
          <w:b/>
          <w:i w:val="0"/>
          <w:color w:val="C9A227"/>
          <w:sz w:val="21"/>
        </w:rPr>
        <w:t>Works produced</w:t>
      </w:r>
    </w:p>
    <w:tbl>
      <w:tblPr>
        <w:tblStyle w:val="TableGrid"/>
        <w:tblW w:type="auto" w:w="0"/>
        <w:jc w:val="center"/>
        <w:tblLayout w:type="fixed"/>
        <w:tblLook w:firstColumn="1" w:firstRow="1" w:lastColumn="0" w:lastRow="0" w:noHBand="0" w:noVBand="1" w:val="04A0"/>
        <w:tblLayout w:type="fixed"/>
      </w:tblPr>
      <w:tblGrid>
        <w:gridCol w:w="5670"/>
        <w:gridCol w:w="907"/>
        <w:gridCol w:w="3061"/>
      </w:tblGrid>
      <w:tr>
        <w:trPr>
          <w:cantSplit/>
        </w:trPr>
        <w:tc>
          <w:tcPr>
            <w:tcW w:type="dxa" w:w="5669"/>
            <w:shd w:val="clear" w:color="auto" w:fill="1A1A1A"/>
          </w:tcPr>
          <w:p>
            <w:pPr>
              <w:keepNext/>
              <w:spacing w:after="20"/>
            </w:pPr>
            <w:r/>
            <w:r>
              <w:rPr>
                <w:b/>
                <w:i w:val="0"/>
                <w:color w:val="FFFFFF"/>
                <w:sz w:val="18"/>
              </w:rPr>
              <w:t>Deliverable</w:t>
            </w:r>
          </w:p>
        </w:tc>
        <w:tc>
          <w:tcPr>
            <w:tcW w:type="dxa" w:w="907"/>
            <w:shd w:val="clear" w:color="auto" w:fill="1A1A1A"/>
          </w:tcPr>
          <w:p>
            <w:pPr>
              <w:keepNext/>
              <w:spacing w:after="20"/>
            </w:pPr>
            <w:r/>
            <w:r>
              <w:rPr>
                <w:b/>
                <w:i w:val="0"/>
                <w:color w:val="FFFFFF"/>
                <w:sz w:val="18"/>
              </w:rPr>
              <w:t>Stage</w:t>
            </w:r>
          </w:p>
        </w:tc>
        <w:tc>
          <w:tcPr>
            <w:tcW w:type="dxa" w:w="3061"/>
            <w:shd w:val="clear" w:color="auto" w:fill="1A1A1A"/>
          </w:tcPr>
          <w:p>
            <w:pPr>
              <w:keepNext/>
              <w:spacing w:after="20"/>
            </w:pPr>
            <w:r/>
            <w:r>
              <w:rPr>
                <w:b/>
                <w:i w:val="0"/>
                <w:color w:val="FFFFFF"/>
                <w:sz w:val="18"/>
              </w:rPr>
              <w:t>Format</w:t>
            </w:r>
          </w:p>
        </w:tc>
      </w:tr>
      <w:tr>
        <w:trPr>
          <w:cantSplit/>
        </w:trPr>
        <w:tc>
          <w:tcPr>
            <w:tcW w:type="dxa" w:w="5669"/>
          </w:tcPr>
          <w:p>
            <w:pPr>
              <w:keepNext/>
              <w:spacing w:after="20"/>
            </w:pPr>
            <w:r/>
            <w:r>
              <w:rPr>
                <w:b w:val="0"/>
                <w:i w:val="0"/>
                <w:sz w:val="18"/>
              </w:rPr>
              <w:t>Evaluation report of the existing Contributions Plan</w:t>
            </w:r>
          </w:p>
        </w:tc>
        <w:tc>
          <w:tcPr>
            <w:tcW w:type="dxa" w:w="907"/>
          </w:tcPr>
          <w:p>
            <w:pPr>
              <w:keepNext/>
              <w:spacing w:after="20"/>
            </w:pPr>
            <w:r/>
            <w:r>
              <w:rPr>
                <w:b w:val="0"/>
                <w:i w:val="0"/>
                <w:sz w:val="18"/>
              </w:rPr>
              <w:t>1</w:t>
            </w:r>
          </w:p>
        </w:tc>
        <w:tc>
          <w:tcPr>
            <w:tcW w:type="dxa" w:w="3061"/>
          </w:tcPr>
          <w:p>
            <w:pPr>
              <w:keepNext/>
              <w:spacing w:after="20"/>
            </w:pPr>
            <w:r/>
            <w:r>
              <w:rPr>
                <w:b w:val="0"/>
                <w:i w:val="0"/>
                <w:sz w:val="18"/>
              </w:rPr>
              <w:t>PDF and Word</w:t>
            </w:r>
          </w:p>
        </w:tc>
      </w:tr>
      <w:tr>
        <w:trPr>
          <w:cantSplit/>
        </w:trPr>
        <w:tc>
          <w:tcPr>
            <w:tcW w:type="dxa" w:w="5669"/>
          </w:tcPr>
          <w:p>
            <w:pPr>
              <w:keepNext/>
              <w:spacing w:after="20"/>
            </w:pPr>
            <w:r/>
            <w:r>
              <w:rPr>
                <w:b w:val="0"/>
                <w:i w:val="0"/>
                <w:sz w:val="18"/>
              </w:rPr>
              <w:t>Short discussion paper: recommended framework, options and approach</w:t>
            </w:r>
          </w:p>
        </w:tc>
        <w:tc>
          <w:tcPr>
            <w:tcW w:type="dxa" w:w="907"/>
          </w:tcPr>
          <w:p>
            <w:pPr>
              <w:keepNext/>
              <w:spacing w:after="20"/>
            </w:pPr>
            <w:r/>
            <w:r>
              <w:rPr>
                <w:b w:val="0"/>
                <w:i w:val="0"/>
                <w:sz w:val="18"/>
              </w:rPr>
              <w:t>2</w:t>
            </w:r>
          </w:p>
        </w:tc>
        <w:tc>
          <w:tcPr>
            <w:tcW w:type="dxa" w:w="3061"/>
          </w:tcPr>
          <w:p>
            <w:pPr>
              <w:keepNext/>
              <w:spacing w:after="20"/>
            </w:pPr>
            <w:r/>
            <w:r>
              <w:rPr>
                <w:b w:val="0"/>
                <w:i w:val="0"/>
                <w:sz w:val="18"/>
              </w:rPr>
              <w:t>PDF and Word</w:t>
            </w:r>
          </w:p>
        </w:tc>
      </w:tr>
      <w:tr>
        <w:trPr>
          <w:cantSplit/>
        </w:trPr>
        <w:tc>
          <w:tcPr>
            <w:tcW w:type="dxa" w:w="5669"/>
          </w:tcPr>
          <w:p>
            <w:pPr>
              <w:keepNext/>
              <w:spacing w:after="20"/>
            </w:pPr>
            <w:r/>
            <w:r>
              <w:rPr>
                <w:b w:val="0"/>
                <w:i w:val="0"/>
                <w:sz w:val="18"/>
              </w:rPr>
              <w:t>Draft Contributions Plan for public exhibition</w:t>
            </w:r>
          </w:p>
        </w:tc>
        <w:tc>
          <w:tcPr>
            <w:tcW w:type="dxa" w:w="907"/>
          </w:tcPr>
          <w:p>
            <w:pPr>
              <w:keepNext/>
              <w:spacing w:after="20"/>
            </w:pPr>
            <w:r/>
            <w:r>
              <w:rPr>
                <w:b w:val="0"/>
                <w:i w:val="0"/>
                <w:sz w:val="18"/>
              </w:rPr>
              <w:t>3</w:t>
            </w:r>
          </w:p>
        </w:tc>
        <w:tc>
          <w:tcPr>
            <w:tcW w:type="dxa" w:w="3061"/>
          </w:tcPr>
          <w:p>
            <w:pPr>
              <w:keepNext/>
              <w:spacing w:after="20"/>
            </w:pPr>
            <w:r/>
            <w:r>
              <w:rPr>
                <w:b w:val="0"/>
                <w:i w:val="0"/>
                <w:sz w:val="18"/>
              </w:rPr>
              <w:t>PDF and Word; GIS layers for MapInfo</w:t>
            </w:r>
          </w:p>
        </w:tc>
      </w:tr>
      <w:tr>
        <w:trPr>
          <w:cantSplit/>
        </w:trPr>
        <w:tc>
          <w:tcPr>
            <w:tcW w:type="dxa" w:w="5669"/>
          </w:tcPr>
          <w:p>
            <w:pPr>
              <w:keepNext/>
              <w:spacing w:after="20"/>
            </w:pPr>
            <w:r/>
            <w:r>
              <w:rPr>
                <w:b w:val="0"/>
                <w:i w:val="0"/>
                <w:sz w:val="18"/>
              </w:rPr>
              <w:t>Final Contributions Plan</w:t>
            </w:r>
          </w:p>
        </w:tc>
        <w:tc>
          <w:tcPr>
            <w:tcW w:type="dxa" w:w="907"/>
          </w:tcPr>
          <w:p>
            <w:pPr>
              <w:keepNext/>
              <w:spacing w:after="20"/>
            </w:pPr>
            <w:r/>
            <w:r>
              <w:rPr>
                <w:b w:val="0"/>
                <w:i w:val="0"/>
                <w:sz w:val="18"/>
              </w:rPr>
              <w:t>3</w:t>
            </w:r>
          </w:p>
        </w:tc>
        <w:tc>
          <w:tcPr>
            <w:tcW w:type="dxa" w:w="3061"/>
          </w:tcPr>
          <w:p>
            <w:pPr>
              <w:keepNext/>
              <w:spacing w:after="20"/>
            </w:pPr>
            <w:r/>
            <w:r>
              <w:rPr>
                <w:b w:val="0"/>
                <w:i w:val="0"/>
                <w:sz w:val="18"/>
              </w:rPr>
              <w:t>PDF and Word; GIS layers for MapInfo</w:t>
            </w:r>
          </w:p>
        </w:tc>
      </w:tr>
      <w:tr>
        <w:trPr>
          <w:cantSplit/>
        </w:trPr>
        <w:tc>
          <w:tcPr>
            <w:tcW w:type="dxa" w:w="5669"/>
          </w:tcPr>
          <w:p>
            <w:pPr>
              <w:keepNext/>
              <w:spacing w:after="20"/>
            </w:pPr>
            <w:r/>
            <w:r>
              <w:rPr>
                <w:b w:val="0"/>
                <w:i w:val="0"/>
                <w:sz w:val="18"/>
              </w:rPr>
              <w:t>Staff Contributions Administration Guide</w:t>
            </w:r>
          </w:p>
        </w:tc>
        <w:tc>
          <w:tcPr>
            <w:tcW w:type="dxa" w:w="907"/>
          </w:tcPr>
          <w:p>
            <w:pPr>
              <w:keepNext/>
              <w:spacing w:after="20"/>
            </w:pPr>
            <w:r/>
            <w:r>
              <w:rPr>
                <w:b w:val="0"/>
                <w:i w:val="0"/>
                <w:sz w:val="18"/>
              </w:rPr>
              <w:t>3</w:t>
            </w:r>
          </w:p>
        </w:tc>
        <w:tc>
          <w:tcPr>
            <w:tcW w:type="dxa" w:w="3061"/>
          </w:tcPr>
          <w:p>
            <w:pPr>
              <w:keepNext/>
              <w:spacing w:after="20"/>
            </w:pPr>
            <w:r/>
            <w:r>
              <w:rPr>
                <w:b w:val="0"/>
                <w:i w:val="0"/>
                <w:sz w:val="18"/>
              </w:rPr>
              <w:t>PDF and Word</w:t>
            </w:r>
          </w:p>
        </w:tc>
      </w:tr>
      <w:tr>
        <w:trPr>
          <w:cantSplit/>
        </w:trPr>
        <w:tc>
          <w:tcPr>
            <w:tcW w:type="dxa" w:w="5669"/>
          </w:tcPr>
          <w:p>
            <w:pPr>
              <w:keepNext w:val="0"/>
              <w:spacing w:after="20"/>
            </w:pPr>
            <w:r/>
            <w:r>
              <w:rPr>
                <w:b w:val="0"/>
                <w:i w:val="0"/>
                <w:sz w:val="18"/>
              </w:rPr>
              <w:t>Works schedule and contributions calculation spreadsheet</w:t>
            </w:r>
          </w:p>
        </w:tc>
        <w:tc>
          <w:tcPr>
            <w:tcW w:type="dxa" w:w="907"/>
          </w:tcPr>
          <w:p>
            <w:pPr>
              <w:keepNext w:val="0"/>
              <w:spacing w:after="20"/>
            </w:pPr>
            <w:r/>
            <w:r>
              <w:rPr>
                <w:b w:val="0"/>
                <w:i w:val="0"/>
                <w:sz w:val="18"/>
              </w:rPr>
              <w:t>3</w:t>
            </w:r>
          </w:p>
        </w:tc>
        <w:tc>
          <w:tcPr>
            <w:tcW w:type="dxa" w:w="3061"/>
          </w:tcPr>
          <w:p>
            <w:pPr>
              <w:keepNext w:val="0"/>
              <w:spacing w:after="20"/>
            </w:pPr>
            <w:r/>
            <w:r>
              <w:rPr>
                <w:b w:val="0"/>
                <w:i w:val="0"/>
                <w:sz w:val="18"/>
              </w:rPr>
              <w:t>Excel (editable)</w:t>
            </w:r>
          </w:p>
        </w:tc>
      </w:tr>
    </w:tbl>
    <w:p>
      <w:pPr>
        <w:spacing w:after="40"/>
      </w:pPr>
    </w:p>
    <w:p>
      <w:r>
        <w:rPr>
          <w:b/>
          <w:i w:val="0"/>
        </w:rPr>
        <w:t xml:space="preserve">Ownership. </w:t>
      </w:r>
      <w:r>
        <w:rPr>
          <w:b w:val="0"/>
          <w:i w:val="0"/>
        </w:rPr>
        <w:t>All deliverables and IP Rights vest in Council, consistent with clause 4 of Council's draft contract.</w:t>
      </w:r>
    </w:p>
    <w:p>
      <w:r>
        <w:rPr>
          <w:b/>
          <w:i w:val="0"/>
        </w:rPr>
        <w:t xml:space="preserve">Status of estimates. </w:t>
      </w:r>
      <w:r>
        <w:rPr>
          <w:b w:val="0"/>
          <w:i w:val="0"/>
        </w:rPr>
        <w:t>Cost estimates are strategic opinions of probable cost for contributions planning, based on concept scopes and benchmark rates. They are not design estimates or construction quotations.</w:t>
      </w:r>
    </w:p>
    <w:p>
      <w:pPr>
        <w:keepNext/>
        <w:spacing w:before="240" w:after="80"/>
        <w:pBdr>
          <w:bottom w:val="single" w:sz="8" w:space="1" w:color="C9A227"/>
        </w:pBdr>
      </w:pPr>
      <w:r>
        <w:rPr>
          <w:b/>
          <w:i w:val="0"/>
          <w:color w:val="000000"/>
          <w:sz w:val="26"/>
        </w:rPr>
        <w:t>3. Innovations and alternative approaches</w:t>
      </w:r>
    </w:p>
    <w:p>
      <w:pPr>
        <w:keepNext/>
      </w:pPr>
      <w:r>
        <w:rPr>
          <w:b w:val="0"/>
          <w:i w:val="0"/>
        </w:rPr>
        <w:t>JCE will test the following in the Stage 2 discussion paper. Each is an option for Council to accept or reject, and none changes the price.</w:t>
      </w:r>
    </w:p>
    <w:p>
      <w:pPr>
        <w:pStyle w:val="ListBullet"/>
        <w:keepNext/>
        <w:spacing w:after="40"/>
      </w:pPr>
      <w:r>
        <w:rPr>
          <w:b w:val="0"/>
          <w:i w:val="0"/>
        </w:rPr>
        <w:t>Heavy haulage: a rate per tonne-kilometre on defined haul routes, so the contribution follows the road damage each development causes, building on Council's draft OSOM plan.</w:t>
      </w:r>
    </w:p>
    <w:p>
      <w:pPr>
        <w:pStyle w:val="ListBullet"/>
        <w:keepNext/>
        <w:spacing w:after="40"/>
      </w:pPr>
      <w:r>
        <w:rPr>
          <w:b w:val="0"/>
          <w:i w:val="0"/>
        </w:rPr>
        <w:t>REZ and other large temporary workforces: options to capture construction traffic and short-term infrastructure demand through the Section 7.12 levy, conditions or planning agreements, for Council's decision.</w:t>
      </w:r>
    </w:p>
    <w:p>
      <w:pPr>
        <w:pStyle w:val="ListBullet"/>
        <w:keepNext/>
        <w:spacing w:after="40"/>
      </w:pPr>
      <w:r>
        <w:rPr>
          <w:b w:val="0"/>
          <w:i w:val="0"/>
        </w:rPr>
        <w:t>Car parking: a cash-in-lieu rate per space based on construction and land cost in the Mudgee Town Centre, with the works linked to the Town Centre Growth Strategy.</w:t>
      </w:r>
    </w:p>
    <w:p>
      <w:pPr>
        <w:pStyle w:val="ListBullet"/>
        <w:spacing w:after="40"/>
      </w:pPr>
      <w:r>
        <w:rPr>
          <w:b w:val="0"/>
          <w:i w:val="0"/>
        </w:rPr>
        <w:t>Administration: an indexed calculation spreadsheet with the Administration Guide, so staff can calculate a contribution and check credits in one step.</w:t>
      </w:r>
    </w:p>
    <w:p>
      <w:pPr>
        <w:keepNext/>
        <w:spacing w:before="240" w:after="80"/>
        <w:pBdr>
          <w:bottom w:val="single" w:sz="8" w:space="1" w:color="C9A227"/>
        </w:pBdr>
      </w:pPr>
      <w:r>
        <w:rPr>
          <w:b/>
          <w:i w:val="0"/>
          <w:color w:val="000000"/>
          <w:sz w:val="26"/>
        </w:rPr>
        <w:t>4. Program, milestones and managing delays</w:t>
      </w:r>
    </w:p>
    <w:p>
      <w:pPr>
        <w:keepNext/>
      </w:pPr>
      <w:r>
        <w:rPr>
          <w:b w:val="0"/>
          <w:i w:val="0"/>
        </w:rPr>
        <w:t>JCE can meet Council's 26-week timeframe. The program assumes commencement in November 2026 and completion in May 2027, subject to public exhibition and Council reporting.</w:t>
      </w:r>
    </w:p>
    <w:tbl>
      <w:tblPr>
        <w:tblStyle w:val="TableGrid"/>
        <w:tblW w:type="auto" w:w="0"/>
        <w:tblLayout w:type="fixed"/>
        <w:tblLook w:firstColumn="1" w:firstRow="1" w:lastColumn="0" w:lastRow="0" w:noHBand="0" w:noVBand="1" w:val="04A0"/>
        <w:tblLayout w:type="fixed"/>
      </w:tblPr>
      <w:tblGrid>
        <w:gridCol w:w="4876"/>
        <w:gridCol w:w="680"/>
        <w:gridCol w:w="680"/>
        <w:gridCol w:w="680"/>
        <w:gridCol w:w="680"/>
        <w:gridCol w:w="680"/>
        <w:gridCol w:w="680"/>
        <w:gridCol w:w="680"/>
      </w:tblGrid>
      <w:tr>
        <w:trPr>
          <w:cantSplit/>
        </w:trPr>
        <w:tc>
          <w:tcPr>
            <w:tcW w:type="dxa" w:w="4876"/>
            <w:shd w:val="clear" w:color="auto" w:fill="1A1A1A"/>
          </w:tcPr>
          <w:p>
            <w:pPr>
              <w:keepNext/>
              <w:spacing w:after="0"/>
            </w:pPr>
            <w:r/>
            <w:r>
              <w:rPr>
                <w:b/>
                <w:i w:val="0"/>
                <w:color w:val="FFFFFF"/>
                <w:sz w:val="16"/>
              </w:rPr>
              <w:t>Stage (2026 to 2027)</w:t>
            </w:r>
          </w:p>
        </w:tc>
        <w:tc>
          <w:tcPr>
            <w:tcW w:type="dxa" w:w="680"/>
            <w:shd w:val="clear" w:color="auto" w:fill="1A1A1A"/>
          </w:tcPr>
          <w:p>
            <w:pPr>
              <w:keepNext/>
              <w:spacing w:after="0"/>
            </w:pPr>
            <w:r/>
            <w:r>
              <w:rPr>
                <w:b/>
                <w:i w:val="0"/>
                <w:color w:val="FFFFFF"/>
                <w:sz w:val="16"/>
              </w:rPr>
              <w:t>Nov</w:t>
            </w:r>
          </w:p>
        </w:tc>
        <w:tc>
          <w:tcPr>
            <w:tcW w:type="dxa" w:w="680"/>
            <w:shd w:val="clear" w:color="auto" w:fill="1A1A1A"/>
          </w:tcPr>
          <w:p>
            <w:pPr>
              <w:keepNext/>
              <w:spacing w:after="0"/>
            </w:pPr>
            <w:r/>
            <w:r>
              <w:rPr>
                <w:b/>
                <w:i w:val="0"/>
                <w:color w:val="FFFFFF"/>
                <w:sz w:val="16"/>
              </w:rPr>
              <w:t>Dec</w:t>
            </w:r>
          </w:p>
        </w:tc>
        <w:tc>
          <w:tcPr>
            <w:tcW w:type="dxa" w:w="680"/>
            <w:shd w:val="clear" w:color="auto" w:fill="1A1A1A"/>
          </w:tcPr>
          <w:p>
            <w:pPr>
              <w:keepNext/>
              <w:spacing w:after="0"/>
            </w:pPr>
            <w:r/>
            <w:r>
              <w:rPr>
                <w:b/>
                <w:i w:val="0"/>
                <w:color w:val="FFFFFF"/>
                <w:sz w:val="16"/>
              </w:rPr>
              <w:t>Jan</w:t>
            </w:r>
          </w:p>
        </w:tc>
        <w:tc>
          <w:tcPr>
            <w:tcW w:type="dxa" w:w="680"/>
            <w:shd w:val="clear" w:color="auto" w:fill="1A1A1A"/>
          </w:tcPr>
          <w:p>
            <w:pPr>
              <w:keepNext/>
              <w:spacing w:after="0"/>
            </w:pPr>
            <w:r/>
            <w:r>
              <w:rPr>
                <w:b/>
                <w:i w:val="0"/>
                <w:color w:val="FFFFFF"/>
                <w:sz w:val="16"/>
              </w:rPr>
              <w:t>Feb</w:t>
            </w:r>
          </w:p>
        </w:tc>
        <w:tc>
          <w:tcPr>
            <w:tcW w:type="dxa" w:w="680"/>
            <w:shd w:val="clear" w:color="auto" w:fill="1A1A1A"/>
          </w:tcPr>
          <w:p>
            <w:pPr>
              <w:keepNext/>
              <w:spacing w:after="0"/>
            </w:pPr>
            <w:r/>
            <w:r>
              <w:rPr>
                <w:b/>
                <w:i w:val="0"/>
                <w:color w:val="FFFFFF"/>
                <w:sz w:val="16"/>
              </w:rPr>
              <w:t>Mar</w:t>
            </w:r>
          </w:p>
        </w:tc>
        <w:tc>
          <w:tcPr>
            <w:tcW w:type="dxa" w:w="680"/>
            <w:shd w:val="clear" w:color="auto" w:fill="1A1A1A"/>
          </w:tcPr>
          <w:p>
            <w:pPr>
              <w:keepNext/>
              <w:spacing w:after="0"/>
            </w:pPr>
            <w:r/>
            <w:r>
              <w:rPr>
                <w:b/>
                <w:i w:val="0"/>
                <w:color w:val="FFFFFF"/>
                <w:sz w:val="16"/>
              </w:rPr>
              <w:t>Apr</w:t>
            </w:r>
          </w:p>
        </w:tc>
        <w:tc>
          <w:tcPr>
            <w:tcW w:type="dxa" w:w="680"/>
            <w:shd w:val="clear" w:color="auto" w:fill="1A1A1A"/>
          </w:tcPr>
          <w:p>
            <w:pPr>
              <w:keepNext/>
              <w:spacing w:after="0"/>
            </w:pPr>
            <w:r/>
            <w:r>
              <w:rPr>
                <w:b/>
                <w:i w:val="0"/>
                <w:color w:val="FFFFFF"/>
                <w:sz w:val="16"/>
              </w:rPr>
              <w:t>May</w:t>
            </w:r>
          </w:p>
        </w:tc>
      </w:tr>
      <w:tr>
        <w:trPr>
          <w:cantSplit/>
        </w:trPr>
        <w:tc>
          <w:tcPr>
            <w:tcW w:type="dxa" w:w="4876"/>
          </w:tcPr>
          <w:p>
            <w:pPr>
              <w:keepNext/>
              <w:spacing w:after="0"/>
            </w:pPr>
            <w:r/>
            <w:r>
              <w:rPr>
                <w:b w:val="0"/>
                <w:i w:val="0"/>
                <w:sz w:val="16"/>
              </w:rPr>
              <w:t>Stage 1  Inception and review (HP1, week 4)</w:t>
            </w:r>
          </w:p>
        </w:tc>
        <w:tc>
          <w:tcPr>
            <w:tcW w:type="dxa" w:w="680"/>
            <w:shd w:val="clear" w:color="auto" w:fill="C9A227"/>
          </w:tcPr>
          <w:p>
            <w:pPr>
              <w:keepNext/>
              <w:spacing w:after="0"/>
            </w:pPr>
            <w:r/>
          </w:p>
        </w:tc>
        <w:tc>
          <w:tcPr>
            <w:tcW w:type="dxa" w:w="680"/>
            <w:shd w:val="clear" w:color="auto" w:fill="C9A227"/>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r>
      <w:tr>
        <w:trPr>
          <w:cantSplit/>
        </w:trPr>
        <w:tc>
          <w:tcPr>
            <w:tcW w:type="dxa" w:w="4876"/>
          </w:tcPr>
          <w:p>
            <w:pPr>
              <w:keepNext/>
              <w:spacing w:after="0"/>
            </w:pPr>
            <w:r/>
            <w:r>
              <w:rPr>
                <w:b w:val="0"/>
                <w:i w:val="0"/>
                <w:sz w:val="16"/>
              </w:rPr>
              <w:t>Stage 2  Framework, discussion paper (HP2, week 8)</w:t>
            </w:r>
          </w:p>
        </w:tc>
        <w:tc>
          <w:tcPr>
            <w:tcW w:type="dxa" w:w="680"/>
          </w:tcPr>
          <w:p>
            <w:pPr>
              <w:keepNext/>
              <w:spacing w:after="0"/>
            </w:pPr>
            <w:r/>
          </w:p>
        </w:tc>
        <w:tc>
          <w:tcPr>
            <w:tcW w:type="dxa" w:w="680"/>
            <w:shd w:val="clear" w:color="auto" w:fill="C9A227"/>
          </w:tcPr>
          <w:p>
            <w:pPr>
              <w:keepNext/>
              <w:spacing w:after="0"/>
            </w:pPr>
            <w:r/>
          </w:p>
        </w:tc>
        <w:tc>
          <w:tcPr>
            <w:tcW w:type="dxa" w:w="680"/>
            <w:shd w:val="clear" w:color="auto" w:fill="C9A227"/>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r>
      <w:tr>
        <w:trPr>
          <w:cantSplit/>
        </w:trPr>
        <w:tc>
          <w:tcPr>
            <w:tcW w:type="dxa" w:w="4876"/>
          </w:tcPr>
          <w:p>
            <w:pPr>
              <w:keepNext/>
              <w:spacing w:after="0"/>
            </w:pPr>
            <w:r/>
            <w:r>
              <w:rPr>
                <w:b w:val="0"/>
                <w:i w:val="0"/>
                <w:sz w:val="16"/>
              </w:rPr>
              <w:t>Stage 3  Draft plan (HP3, week 14)</w:t>
            </w:r>
          </w:p>
        </w:tc>
        <w:tc>
          <w:tcPr>
            <w:tcW w:type="dxa" w:w="680"/>
          </w:tcPr>
          <w:p>
            <w:pPr>
              <w:keepNext/>
              <w:spacing w:after="0"/>
            </w:pPr>
            <w:r/>
          </w:p>
        </w:tc>
        <w:tc>
          <w:tcPr>
            <w:tcW w:type="dxa" w:w="680"/>
          </w:tcPr>
          <w:p>
            <w:pPr>
              <w:keepNext/>
              <w:spacing w:after="0"/>
            </w:pPr>
            <w:r/>
          </w:p>
        </w:tc>
        <w:tc>
          <w:tcPr>
            <w:tcW w:type="dxa" w:w="680"/>
            <w:shd w:val="clear" w:color="auto" w:fill="C9A227"/>
          </w:tcPr>
          <w:p>
            <w:pPr>
              <w:keepNext/>
              <w:spacing w:after="0"/>
            </w:pPr>
            <w:r/>
          </w:p>
        </w:tc>
        <w:tc>
          <w:tcPr>
            <w:tcW w:type="dxa" w:w="680"/>
            <w:shd w:val="clear" w:color="auto" w:fill="C9A227"/>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r>
      <w:tr>
        <w:trPr>
          <w:cantSplit/>
        </w:trPr>
        <w:tc>
          <w:tcPr>
            <w:tcW w:type="dxa" w:w="4876"/>
          </w:tcPr>
          <w:p>
            <w:pPr>
              <w:keepNext/>
              <w:spacing w:after="0"/>
            </w:pPr>
            <w:r/>
            <w:r>
              <w:rPr>
                <w:b w:val="0"/>
                <w:i w:val="0"/>
                <w:sz w:val="16"/>
              </w:rPr>
              <w:t>Stage 3  Exhibition and Council reporting</w:t>
            </w:r>
          </w:p>
        </w:tc>
        <w:tc>
          <w:tcPr>
            <w:tcW w:type="dxa" w:w="680"/>
          </w:tcPr>
          <w:p>
            <w:pPr>
              <w:keepNext/>
              <w:spacing w:after="0"/>
            </w:pPr>
            <w:r/>
          </w:p>
        </w:tc>
        <w:tc>
          <w:tcPr>
            <w:tcW w:type="dxa" w:w="680"/>
          </w:tcPr>
          <w:p>
            <w:pPr>
              <w:keepNext/>
              <w:spacing w:after="0"/>
            </w:pPr>
            <w:r/>
          </w:p>
        </w:tc>
        <w:tc>
          <w:tcPr>
            <w:tcW w:type="dxa" w:w="680"/>
          </w:tcPr>
          <w:p>
            <w:pPr>
              <w:keepNext/>
              <w:spacing w:after="0"/>
            </w:pPr>
            <w:r/>
          </w:p>
        </w:tc>
        <w:tc>
          <w:tcPr>
            <w:tcW w:type="dxa" w:w="680"/>
            <w:shd w:val="clear" w:color="auto" w:fill="C9A227"/>
          </w:tcPr>
          <w:p>
            <w:pPr>
              <w:keepNext/>
              <w:spacing w:after="0"/>
            </w:pPr>
            <w:r/>
          </w:p>
        </w:tc>
        <w:tc>
          <w:tcPr>
            <w:tcW w:type="dxa" w:w="680"/>
            <w:shd w:val="clear" w:color="auto" w:fill="C9A227"/>
          </w:tcPr>
          <w:p>
            <w:pPr>
              <w:keepNext/>
              <w:spacing w:after="0"/>
            </w:pPr>
            <w:r/>
          </w:p>
        </w:tc>
        <w:tc>
          <w:tcPr>
            <w:tcW w:type="dxa" w:w="680"/>
          </w:tcPr>
          <w:p>
            <w:pPr>
              <w:keepNext/>
              <w:spacing w:after="0"/>
            </w:pPr>
            <w:r/>
          </w:p>
        </w:tc>
        <w:tc>
          <w:tcPr>
            <w:tcW w:type="dxa" w:w="680"/>
          </w:tcPr>
          <w:p>
            <w:pPr>
              <w:keepNext/>
              <w:spacing w:after="0"/>
            </w:pPr>
            <w:r/>
          </w:p>
        </w:tc>
      </w:tr>
      <w:tr>
        <w:trPr>
          <w:cantSplit/>
        </w:trPr>
        <w:tc>
          <w:tcPr>
            <w:tcW w:type="dxa" w:w="4876"/>
          </w:tcPr>
          <w:p>
            <w:pPr>
              <w:keepNext/>
              <w:spacing w:after="0"/>
            </w:pPr>
            <w:r/>
            <w:r>
              <w:rPr>
                <w:b w:val="0"/>
                <w:i w:val="0"/>
                <w:sz w:val="16"/>
              </w:rPr>
              <w:t>Stage 3  Final plan and Admin Guide (week 26)</w:t>
            </w:r>
          </w:p>
        </w:tc>
        <w:tc>
          <w:tcPr>
            <w:tcW w:type="dxa" w:w="680"/>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c>
          <w:tcPr>
            <w:tcW w:type="dxa" w:w="680"/>
            <w:shd w:val="clear" w:color="auto" w:fill="C9A227"/>
          </w:tcPr>
          <w:p>
            <w:pPr>
              <w:keepNext/>
              <w:spacing w:after="0"/>
            </w:pPr>
            <w:r/>
          </w:p>
        </w:tc>
        <w:tc>
          <w:tcPr>
            <w:tcW w:type="dxa" w:w="680"/>
            <w:shd w:val="clear" w:color="auto" w:fill="C9A227"/>
          </w:tcPr>
          <w:p>
            <w:pPr>
              <w:keepNext/>
              <w:spacing w:after="0"/>
            </w:pPr>
            <w:r/>
          </w:p>
        </w:tc>
        <w:tc>
          <w:tcPr>
            <w:tcW w:type="dxa" w:w="680"/>
            <w:shd w:val="clear" w:color="auto" w:fill="C9A227"/>
          </w:tcPr>
          <w:p>
            <w:pPr>
              <w:keepNext/>
              <w:spacing w:after="0"/>
            </w:pPr>
            <w:r/>
          </w:p>
        </w:tc>
      </w:tr>
    </w:tbl>
    <w:p>
      <w:r>
        <w:rPr>
          <w:b w:val="0"/>
          <w:i/>
          <w:color w:val="555555"/>
          <w:sz w:val="16"/>
        </w:rPr>
        <w:t>Gold bars show indicative timing. HP1 to HP3 are Council hold points.</w:t>
      </w:r>
    </w:p>
    <w:p>
      <w:pPr>
        <w:keepNext/>
        <w:spacing w:before="120" w:after="40"/>
      </w:pPr>
      <w:r>
        <w:rPr>
          <w:b/>
          <w:i w:val="0"/>
          <w:color w:val="C9A227"/>
          <w:sz w:val="21"/>
        </w:rPr>
        <w:t>Strategies for addressing delays</w:t>
      </w:r>
    </w:p>
    <w:p>
      <w:pPr>
        <w:pStyle w:val="ListBullet"/>
        <w:keepNext/>
        <w:spacing w:after="40"/>
      </w:pPr>
      <w:r>
        <w:rPr>
          <w:b w:val="0"/>
          <w:i w:val="0"/>
        </w:rPr>
        <w:t>Data request issued at the commencement meeting, with a register of what is received and outstanding.</w:t>
      </w:r>
    </w:p>
    <w:p>
      <w:pPr>
        <w:pStyle w:val="ListBullet"/>
        <w:keepNext/>
        <w:spacing w:after="40"/>
      </w:pPr>
      <w:r>
        <w:rPr>
          <w:b w:val="0"/>
          <w:i w:val="0"/>
        </w:rPr>
        <w:t>Council meeting dates fixed at inception; draft plan timed to the meeting that resolves to exhibit.</w:t>
      </w:r>
    </w:p>
    <w:p>
      <w:pPr>
        <w:pStyle w:val="ListBullet"/>
        <w:keepNext/>
        <w:spacing w:after="40"/>
      </w:pPr>
      <w:r>
        <w:rPr>
          <w:b w:val="0"/>
          <w:i w:val="0"/>
        </w:rPr>
        <w:t>Planner and JCE work in parallel in Stages 2 and 3, with Sunny Lotay as backup lead if Jayden is unavailable.</w:t>
      </w:r>
    </w:p>
    <w:p>
      <w:pPr>
        <w:pStyle w:val="ListBullet"/>
        <w:spacing w:after="40"/>
      </w:pPr>
      <w:r>
        <w:rPr>
          <w:b w:val="0"/>
          <w:i w:val="0"/>
        </w:rPr>
        <w:t>Any risk to a milestone reported to Council in the fortnightly update, with a recovery plan.</w:t>
      </w:r>
    </w:p>
    <w:p>
      <w:pPr>
        <w:keepNext/>
        <w:spacing w:before="240" w:after="80"/>
        <w:pBdr>
          <w:bottom w:val="single" w:sz="8" w:space="1" w:color="C9A227"/>
        </w:pBdr>
      </w:pPr>
      <w:r>
        <w:rPr>
          <w:b/>
          <w:i w:val="0"/>
          <w:color w:val="000000"/>
          <w:sz w:val="26"/>
        </w:rPr>
        <w:t>5. Consultant team and experience</w:t>
      </w:r>
    </w:p>
    <w:p>
      <w:pPr>
        <w:keepNext/>
        <w:spacing w:before="120" w:after="40"/>
      </w:pPr>
      <w:r>
        <w:rPr>
          <w:b/>
          <w:i w:val="0"/>
          <w:color w:val="C9A227"/>
          <w:sz w:val="21"/>
        </w:rPr>
        <w:t>Core team</w:t>
      </w:r>
    </w:p>
    <w:tbl>
      <w:tblPr>
        <w:tblStyle w:val="TableGrid"/>
        <w:tblW w:type="auto" w:w="0"/>
        <w:jc w:val="center"/>
        <w:tblLayout w:type="fixed"/>
        <w:tblLook w:firstColumn="1" w:firstRow="1" w:lastColumn="0" w:lastRow="0" w:noHBand="0" w:noVBand="1" w:val="04A0"/>
        <w:tblLayout w:type="fixed"/>
      </w:tblPr>
      <w:tblGrid>
        <w:gridCol w:w="2381"/>
        <w:gridCol w:w="3175"/>
        <w:gridCol w:w="4082"/>
      </w:tblGrid>
      <w:tr>
        <w:trPr>
          <w:cantSplit/>
        </w:trPr>
        <w:tc>
          <w:tcPr>
            <w:tcW w:type="dxa" w:w="2381"/>
            <w:shd w:val="clear" w:color="auto" w:fill="1A1A1A"/>
          </w:tcPr>
          <w:p>
            <w:pPr>
              <w:keepNext/>
              <w:spacing w:after="20"/>
            </w:pPr>
            <w:r/>
            <w:r>
              <w:rPr>
                <w:b/>
                <w:i w:val="0"/>
                <w:color w:val="FFFFFF"/>
                <w:sz w:val="18"/>
              </w:rPr>
              <w:t>Role</w:t>
            </w:r>
          </w:p>
        </w:tc>
        <w:tc>
          <w:tcPr>
            <w:tcW w:type="dxa" w:w="3175"/>
            <w:shd w:val="clear" w:color="auto" w:fill="1A1A1A"/>
          </w:tcPr>
          <w:p>
            <w:pPr>
              <w:keepNext/>
              <w:spacing w:after="20"/>
            </w:pPr>
            <w:r/>
            <w:r>
              <w:rPr>
                <w:b/>
                <w:i w:val="0"/>
                <w:color w:val="FFFFFF"/>
                <w:sz w:val="18"/>
              </w:rPr>
              <w:t>Person</w:t>
            </w:r>
          </w:p>
        </w:tc>
        <w:tc>
          <w:tcPr>
            <w:tcW w:type="dxa" w:w="4082"/>
            <w:shd w:val="clear" w:color="auto" w:fill="1A1A1A"/>
          </w:tcPr>
          <w:p>
            <w:pPr>
              <w:keepNext/>
              <w:spacing w:after="20"/>
            </w:pPr>
            <w:r/>
            <w:r>
              <w:rPr>
                <w:b/>
                <w:i w:val="0"/>
                <w:color w:val="FFFFFF"/>
                <w:sz w:val="18"/>
              </w:rPr>
              <w:t>Responsibility</w:t>
            </w:r>
          </w:p>
        </w:tc>
      </w:tr>
      <w:tr>
        <w:trPr>
          <w:cantSplit/>
        </w:trPr>
        <w:tc>
          <w:tcPr>
            <w:tcW w:type="dxa" w:w="2381"/>
          </w:tcPr>
          <w:p>
            <w:pPr>
              <w:keepNext/>
              <w:spacing w:after="20"/>
            </w:pPr>
            <w:r/>
            <w:r>
              <w:rPr>
                <w:b w:val="0"/>
                <w:i w:val="0"/>
                <w:sz w:val="18"/>
              </w:rPr>
              <w:t>Project Director and Lead Engineer</w:t>
            </w:r>
          </w:p>
        </w:tc>
        <w:tc>
          <w:tcPr>
            <w:tcW w:type="dxa" w:w="3175"/>
          </w:tcPr>
          <w:p>
            <w:pPr>
              <w:keepNext/>
              <w:spacing w:after="20"/>
            </w:pPr>
            <w:r/>
            <w:r>
              <w:rPr>
                <w:b w:val="0"/>
                <w:i w:val="0"/>
                <w:sz w:val="18"/>
              </w:rPr>
              <w:t>Jayden Callen, Director, JCE</w:t>
            </w:r>
          </w:p>
        </w:tc>
        <w:tc>
          <w:tcPr>
            <w:tcW w:type="dxa" w:w="4082"/>
          </w:tcPr>
          <w:p>
            <w:pPr>
              <w:keepNext/>
              <w:spacing w:after="20"/>
            </w:pPr>
            <w:r/>
            <w:r>
              <w:rPr>
                <w:b w:val="0"/>
                <w:i w:val="0"/>
                <w:sz w:val="18"/>
              </w:rPr>
              <w:t>Delivery, coordination, infrastructure schedules and costs, OSOM / heavy haulage, car parking cost basis</w:t>
            </w:r>
          </w:p>
        </w:tc>
      </w:tr>
      <w:tr>
        <w:trPr>
          <w:cantSplit/>
        </w:trPr>
        <w:tc>
          <w:tcPr>
            <w:tcW w:type="dxa" w:w="2381"/>
          </w:tcPr>
          <w:p>
            <w:pPr>
              <w:keepNext/>
              <w:spacing w:after="20"/>
            </w:pPr>
            <w:r/>
            <w:r>
              <w:rPr>
                <w:b w:val="0"/>
                <w:i w:val="0"/>
                <w:sz w:val="18"/>
              </w:rPr>
              <w:t>Associate certifying engineer</w:t>
            </w:r>
          </w:p>
        </w:tc>
        <w:tc>
          <w:tcPr>
            <w:tcW w:type="dxa" w:w="3175"/>
          </w:tcPr>
          <w:p>
            <w:pPr>
              <w:keepNext/>
              <w:spacing w:after="20"/>
            </w:pPr>
            <w:r/>
            <w:r>
              <w:rPr>
                <w:b w:val="0"/>
                <w:i w:val="0"/>
                <w:sz w:val="18"/>
              </w:rPr>
              <w:t>Sunny Lotay (RPEQ, NER), Lotay Civil, standing associate of JCE</w:t>
            </w:r>
          </w:p>
        </w:tc>
        <w:tc>
          <w:tcPr>
            <w:tcW w:type="dxa" w:w="4082"/>
          </w:tcPr>
          <w:p>
            <w:pPr>
              <w:keepNext/>
              <w:spacing w:after="20"/>
            </w:pPr>
            <w:r/>
            <w:r>
              <w:rPr>
                <w:b w:val="0"/>
                <w:i w:val="0"/>
                <w:sz w:val="18"/>
              </w:rPr>
              <w:t>Independent technical review of engineering outputs; certification where required; backup project lead</w:t>
            </w:r>
          </w:p>
        </w:tc>
      </w:tr>
      <w:tr>
        <w:trPr>
          <w:cantSplit/>
        </w:trPr>
        <w:tc>
          <w:tcPr>
            <w:tcW w:type="dxa" w:w="2381"/>
          </w:tcPr>
          <w:p>
            <w:pPr>
              <w:keepNext/>
              <w:spacing w:after="20"/>
            </w:pPr>
            <w:r/>
            <w:r>
              <w:rPr>
                <w:b w:val="0"/>
                <w:i w:val="0"/>
                <w:sz w:val="18"/>
              </w:rPr>
              <w:t>Lead contributions planner</w:t>
            </w:r>
          </w:p>
        </w:tc>
        <w:tc>
          <w:tcPr>
            <w:tcW w:type="dxa" w:w="3175"/>
          </w:tcPr>
          <w:p>
            <w:pPr>
              <w:keepNext/>
              <w:spacing w:after="20"/>
            </w:pPr>
            <w:r/>
            <w:r>
              <w:rPr>
                <w:b w:val="0"/>
                <w:i w:val="0"/>
                <w:sz w:val="18"/>
              </w:rPr>
              <w:t>[TBC - Jayden] (planning partner)</w:t>
            </w:r>
          </w:p>
        </w:tc>
        <w:tc>
          <w:tcPr>
            <w:tcW w:type="dxa" w:w="4082"/>
          </w:tcPr>
          <w:p>
            <w:pPr>
              <w:keepNext/>
              <w:spacing w:after="20"/>
            </w:pPr>
            <w:r/>
            <w:r>
              <w:rPr>
                <w:b w:val="0"/>
                <w:i w:val="0"/>
                <w:sz w:val="18"/>
              </w:rPr>
              <w:t>Evaluation, framework, nexus, apportionment, plan drafting, exhibition, Administration Guide</w:t>
            </w:r>
          </w:p>
        </w:tc>
      </w:tr>
      <w:tr>
        <w:trPr>
          <w:cantSplit/>
        </w:trPr>
        <w:tc>
          <w:tcPr>
            <w:tcW w:type="dxa" w:w="2381"/>
          </w:tcPr>
          <w:p>
            <w:pPr>
              <w:keepNext w:val="0"/>
              <w:spacing w:after="20"/>
            </w:pPr>
            <w:r/>
            <w:r>
              <w:rPr>
                <w:b w:val="0"/>
                <w:i w:val="0"/>
                <w:sz w:val="18"/>
              </w:rPr>
              <w:t>Cost planner</w:t>
            </w:r>
          </w:p>
        </w:tc>
        <w:tc>
          <w:tcPr>
            <w:tcW w:type="dxa" w:w="3175"/>
          </w:tcPr>
          <w:p>
            <w:pPr>
              <w:keepNext w:val="0"/>
              <w:spacing w:after="20"/>
            </w:pPr>
            <w:r/>
            <w:r>
              <w:rPr>
                <w:b w:val="0"/>
                <w:i w:val="0"/>
                <w:sz w:val="18"/>
              </w:rPr>
              <w:t>[TBC - Jayden] (quantity surveyor)</w:t>
            </w:r>
          </w:p>
        </w:tc>
        <w:tc>
          <w:tcPr>
            <w:tcW w:type="dxa" w:w="4082"/>
          </w:tcPr>
          <w:p>
            <w:pPr>
              <w:keepNext w:val="0"/>
              <w:spacing w:after="20"/>
            </w:pPr>
            <w:r/>
            <w:r>
              <w:rPr>
                <w:b w:val="0"/>
                <w:i w:val="0"/>
                <w:sz w:val="18"/>
              </w:rPr>
              <w:t>Community, recreation and open space estimates</w:t>
            </w:r>
          </w:p>
        </w:tc>
      </w:tr>
    </w:tbl>
    <w:p>
      <w:pPr>
        <w:spacing w:after="40"/>
      </w:pPr>
    </w:p>
    <w:p>
      <w:pPr>
        <w:keepNext/>
        <w:spacing w:before="120" w:after="40"/>
      </w:pPr>
      <w:r>
        <w:rPr>
          <w:b/>
          <w:i w:val="0"/>
          <w:color w:val="C9A227"/>
          <w:sz w:val="21"/>
        </w:rPr>
        <w:t>Experience in reviewing and preparing local infrastructure contributions plans for NSW councils</w:t>
      </w:r>
    </w:p>
    <w:p>
      <w:r>
        <w:rPr>
          <w:b w:val="0"/>
          <w:i w:val="0"/>
        </w:rPr>
        <w:t>[TBC - Jayden: planning partner's NSW contributions plan projects, with council, year, role and referee, from the quote due 15/10/2026. This is a minimum requirement of the RFQ.] JCE has not previously prepared a contributions plan in its own name.</w:t>
      </w:r>
    </w:p>
    <w:p>
      <w:pPr>
        <w:keepNext/>
        <w:spacing w:before="120" w:after="40"/>
      </w:pPr>
      <w:r>
        <w:rPr>
          <w:b/>
          <w:i w:val="0"/>
          <w:color w:val="C9A227"/>
          <w:sz w:val="21"/>
        </w:rPr>
        <w:t>Jayden Callen, Project Director and Lead Engineer (JCE)</w:t>
      </w:r>
    </w:p>
    <w:p>
      <w:pPr>
        <w:keepNext/>
      </w:pPr>
      <w:r>
        <w:rPr>
          <w:b w:val="0"/>
          <w:i w:val="0"/>
        </w:rPr>
        <w:t>BEng (Hons) Civil, Deakin University; MIEAust (EA 11036201); National Engineering Register application in progress. Relevant experience:</w:t>
      </w:r>
    </w:p>
    <w:p>
      <w:pPr>
        <w:pStyle w:val="ListBullet"/>
        <w:keepNext/>
        <w:spacing w:after="40"/>
      </w:pPr>
      <w:r>
        <w:rPr>
          <w:b/>
          <w:i w:val="0"/>
        </w:rPr>
        <w:t xml:space="preserve">Regional council work. </w:t>
      </w:r>
      <w:r>
        <w:rPr>
          <w:b w:val="0"/>
          <w:i w:val="0"/>
        </w:rPr>
        <w:t>Has worked for a regional council in Far North Queensland, including shortlisting consultants for a council tender.</w:t>
      </w:r>
    </w:p>
    <w:p>
      <w:pPr>
        <w:pStyle w:val="ListBullet"/>
        <w:keepNext/>
        <w:spacing w:after="40"/>
      </w:pPr>
      <w:r>
        <w:rPr>
          <w:b/>
          <w:i w:val="0"/>
        </w:rPr>
        <w:t xml:space="preserve">Tablelands Regional Council (QLD), while at Langtree Consulting Engineers. </w:t>
      </w:r>
      <w:r>
        <w:rPr>
          <w:b w:val="0"/>
          <w:i w:val="0"/>
        </w:rPr>
        <w:t>Leachate storage facility, Ravenshoe (2025): engineering for a landfill leachate storage facility. Floodway rectification: engineering for the rectification of a floodway on Council's road network. Referee: Darren Quilliam, Tablelands Regional Council.</w:t>
      </w:r>
    </w:p>
    <w:p>
      <w:pPr>
        <w:pStyle w:val="ListBullet"/>
        <w:keepNext/>
        <w:spacing w:after="40"/>
      </w:pPr>
      <w:r>
        <w:rPr>
          <w:b/>
          <w:i w:val="0"/>
        </w:rPr>
        <w:t xml:space="preserve">Design and team management. </w:t>
      </w:r>
      <w:r>
        <w:rPr>
          <w:b w:val="0"/>
          <w:i w:val="0"/>
        </w:rPr>
        <w:t>Civil Design Manager and Senior Engineer, Langtree Consulting Engineers, Townsville (03/2025 to 05/2026): managed four civil designers, coordinated subconsultants into joint packages, and prepared fee proposals, engineer's estimates and bills of quantities.</w:t>
      </w:r>
    </w:p>
    <w:p>
      <w:pPr>
        <w:pStyle w:val="ListBullet"/>
        <w:keepNext/>
        <w:spacing w:after="40"/>
      </w:pPr>
      <w:r>
        <w:rPr>
          <w:b/>
          <w:i w:val="0"/>
        </w:rPr>
        <w:t xml:space="preserve">Regional and remote delivery. </w:t>
      </w:r>
      <w:r>
        <w:rPr>
          <w:b w:val="0"/>
          <w:i w:val="0"/>
        </w:rPr>
        <w:t>Civil design management, site inspections and engineering services reports for subdivisions in the remote Cape York communities of Aurukun, Pormpuraaw and Napranum (Langtree Consulting Engineers).</w:t>
      </w:r>
    </w:p>
    <w:p>
      <w:pPr>
        <w:pStyle w:val="ListBullet"/>
        <w:keepNext/>
        <w:spacing w:after="40"/>
      </w:pPr>
      <w:r>
        <w:rPr>
          <w:b/>
          <w:i w:val="0"/>
        </w:rPr>
        <w:t xml:space="preserve">Head contractor delivery. </w:t>
      </w:r>
      <w:r>
        <w:rPr>
          <w:b w:val="0"/>
          <w:i w:val="0"/>
        </w:rPr>
        <w:t>RAAF Base Townsville, Defence delivery project: engineering delivery for CPB Contractors (head contractor). Referee: Maverick Parker, CPB Contractors.</w:t>
      </w:r>
    </w:p>
    <w:p>
      <w:pPr>
        <w:pStyle w:val="ListBullet"/>
        <w:spacing w:after="40"/>
      </w:pPr>
      <w:r>
        <w:rPr>
          <w:b/>
          <w:i w:val="0"/>
        </w:rPr>
        <w:t xml:space="preserve">Roads, pavements and drainage. </w:t>
      </w:r>
      <w:r>
        <w:rPr>
          <w:b w:val="0"/>
          <w:i w:val="0"/>
        </w:rPr>
        <w:t>Road geometry to the Austroads guides with Transport for NSW supplements; pavement design with CIRCLY; stormwater in DRAINS and MUSIC X.</w:t>
      </w:r>
    </w:p>
    <w:p>
      <w:pPr>
        <w:keepNext/>
        <w:spacing w:before="120" w:after="40"/>
      </w:pPr>
      <w:r>
        <w:rPr>
          <w:b/>
          <w:i w:val="0"/>
          <w:color w:val="C9A227"/>
          <w:sz w:val="21"/>
        </w:rPr>
        <w:t>Sunny Lotay, associate certifying engineer</w:t>
      </w:r>
    </w:p>
    <w:p>
      <w:r>
        <w:rPr>
          <w:b w:val="0"/>
          <w:i w:val="0"/>
        </w:rPr>
        <w:t>Sunny Lotay, Associate Principal Engineer (RPEQ, NER), Lotay Civil: engaged by JCE under a standing associate agreement as technical reviewer and certifying engineer on JCE commissions. On this project he reviews the engineering outputs before issue, provides certification if Council requires a suitably qualified engineer's sign-off, and is backup project lead.</w:t>
      </w:r>
    </w:p>
    <w:p>
      <w:pPr>
        <w:keepNext/>
        <w:spacing w:before="120" w:after="40"/>
      </w:pPr>
      <w:r>
        <w:rPr>
          <w:b/>
          <w:i w:val="0"/>
          <w:color w:val="C9A227"/>
          <w:sz w:val="21"/>
        </w:rPr>
        <w:t>Lead contributions planner and cost planner</w:t>
      </w:r>
    </w:p>
    <w:p>
      <w:r>
        <w:rPr>
          <w:b w:val="0"/>
          <w:i w:val="0"/>
        </w:rPr>
        <w:t>[TBC - Jayden: firm names, principals, qualifications and CVs, from the quotes due 15/10/2026.] Both will be engaged as subconsultants with Council's prior approval under clause 5.2 of the draft contract.</w:t>
      </w:r>
    </w:p>
    <w:p>
      <w:pPr>
        <w:keepNext/>
        <w:spacing w:before="120" w:after="40"/>
      </w:pPr>
      <w:r>
        <w:rPr>
          <w:b/>
          <w:i w:val="0"/>
          <w:color w:val="C9A227"/>
          <w:sz w:val="21"/>
        </w:rPr>
        <w:t>Referees</w:t>
      </w:r>
    </w:p>
    <w:p>
      <w:pPr>
        <w:pStyle w:val="ListBullet"/>
        <w:keepNext/>
        <w:spacing w:after="40"/>
      </w:pPr>
      <w:r>
        <w:rPr>
          <w:b w:val="0"/>
          <w:i w:val="0"/>
        </w:rPr>
        <w:t>Darren Quilliam, Tablelands Regional Council. Contact details available on request.</w:t>
      </w:r>
    </w:p>
    <w:p>
      <w:pPr>
        <w:pStyle w:val="ListBullet"/>
        <w:keepNext/>
        <w:spacing w:after="40"/>
      </w:pPr>
      <w:r>
        <w:rPr>
          <w:b w:val="0"/>
          <w:i w:val="0"/>
        </w:rPr>
        <w:t>Maverick Parker, CPB Contractors. Maverick.Parker@cpbcon.com.au.</w:t>
      </w:r>
    </w:p>
    <w:p>
      <w:pPr>
        <w:pStyle w:val="ListBullet"/>
        <w:keepNext/>
        <w:spacing w:after="40"/>
      </w:pPr>
      <w:r>
        <w:rPr>
          <w:b w:val="0"/>
          <w:i w:val="0"/>
        </w:rPr>
        <w:t>Brett Langtree, Director and Principal Civil Engineer, Langtree Consulting Engineers. 0400 699 979, brett@langtreeconsulting.com.au.</w:t>
      </w:r>
    </w:p>
    <w:p>
      <w:pPr>
        <w:pStyle w:val="ListBullet"/>
        <w:spacing w:after="40"/>
      </w:pPr>
      <w:r>
        <w:rPr>
          <w:b w:val="0"/>
          <w:i w:val="0"/>
        </w:rPr>
        <w:t>Planning partner referees for NSW contributions plans: [TBC - Jayden].</w:t>
      </w:r>
    </w:p>
    <w:p>
      <w:pPr>
        <w:keepNext/>
        <w:spacing w:before="240" w:after="80"/>
        <w:pBdr>
          <w:bottom w:val="single" w:sz="8" w:space="1" w:color="C9A227"/>
        </w:pBdr>
      </w:pPr>
      <w:r>
        <w:rPr>
          <w:b/>
          <w:i w:val="0"/>
          <w:color w:val="000000"/>
          <w:sz w:val="26"/>
        </w:rPr>
        <w:t>6. Cost breakdown by stage</w:t>
      </w:r>
    </w:p>
    <w:p>
      <w:pPr>
        <w:keepNext/>
      </w:pPr>
      <w:r>
        <w:rPr>
          <w:b w:val="0"/>
          <w:i w:val="0"/>
        </w:rPr>
        <w:t>Lump sum price by Council's indicative stages. All amounts exclude GST. The planning partner and cost planner amounts are included in each stage.</w:t>
      </w:r>
    </w:p>
    <w:tbl>
      <w:tblPr>
        <w:tblStyle w:val="TableGrid"/>
        <w:tblW w:type="auto" w:w="0"/>
        <w:jc w:val="center"/>
        <w:tblLayout w:type="fixed"/>
        <w:tblLook w:firstColumn="1" w:firstRow="1" w:lastColumn="0" w:lastRow="0" w:noHBand="0" w:noVBand="1" w:val="04A0"/>
        <w:tblLayout w:type="fixed"/>
      </w:tblPr>
      <w:tblGrid>
        <w:gridCol w:w="2948"/>
        <w:gridCol w:w="4876"/>
        <w:gridCol w:w="1814"/>
      </w:tblGrid>
      <w:tr>
        <w:trPr>
          <w:cantSplit/>
        </w:trPr>
        <w:tc>
          <w:tcPr>
            <w:tcW w:type="dxa" w:w="2948"/>
            <w:shd w:val="clear" w:color="auto" w:fill="1A1A1A"/>
          </w:tcPr>
          <w:p>
            <w:pPr>
              <w:keepNext/>
              <w:spacing w:after="20"/>
            </w:pPr>
            <w:r/>
            <w:r>
              <w:rPr>
                <w:b/>
                <w:i w:val="0"/>
                <w:color w:val="FFFFFF"/>
                <w:sz w:val="18"/>
              </w:rPr>
              <w:t>Stage</w:t>
            </w:r>
          </w:p>
        </w:tc>
        <w:tc>
          <w:tcPr>
            <w:tcW w:type="dxa" w:w="4876"/>
            <w:shd w:val="clear" w:color="auto" w:fill="1A1A1A"/>
          </w:tcPr>
          <w:p>
            <w:pPr>
              <w:keepNext/>
              <w:spacing w:after="20"/>
            </w:pPr>
            <w:r/>
            <w:r>
              <w:rPr>
                <w:b/>
                <w:i w:val="0"/>
                <w:color w:val="FFFFFF"/>
                <w:sz w:val="18"/>
              </w:rPr>
              <w:t>Includes</w:t>
            </w:r>
          </w:p>
        </w:tc>
        <w:tc>
          <w:tcPr>
            <w:tcW w:type="dxa" w:w="1814"/>
            <w:shd w:val="clear" w:color="auto" w:fill="1A1A1A"/>
          </w:tcPr>
          <w:p>
            <w:pPr>
              <w:keepNext/>
              <w:spacing w:after="20"/>
            </w:pPr>
            <w:r/>
            <w:r>
              <w:rPr>
                <w:b/>
                <w:i w:val="0"/>
                <w:color w:val="FFFFFF"/>
                <w:sz w:val="18"/>
              </w:rPr>
              <w:t>Lump sum (excl. GST)</w:t>
            </w:r>
          </w:p>
        </w:tc>
      </w:tr>
      <w:tr>
        <w:trPr>
          <w:cantSplit/>
        </w:trPr>
        <w:tc>
          <w:tcPr>
            <w:tcW w:type="dxa" w:w="2948"/>
          </w:tcPr>
          <w:p>
            <w:pPr>
              <w:keepNext/>
              <w:spacing w:after="20"/>
            </w:pPr>
            <w:r/>
            <w:r>
              <w:rPr>
                <w:b w:val="0"/>
                <w:i w:val="0"/>
                <w:sz w:val="18"/>
              </w:rPr>
              <w:t>Stage 1: Project Inception and Review</w:t>
            </w:r>
          </w:p>
        </w:tc>
        <w:tc>
          <w:tcPr>
            <w:tcW w:type="dxa" w:w="4876"/>
          </w:tcPr>
          <w:p>
            <w:pPr>
              <w:keepNext/>
              <w:spacing w:after="20"/>
            </w:pPr>
            <w:r/>
            <w:r>
              <w:rPr>
                <w:b w:val="0"/>
                <w:i w:val="0"/>
                <w:sz w:val="18"/>
              </w:rPr>
              <w:t>JCE review and project management $10,268.00; planning partner $12,375.00; risk allowance $513.40</w:t>
            </w:r>
          </w:p>
        </w:tc>
        <w:tc>
          <w:tcPr>
            <w:tcW w:type="dxa" w:w="1814"/>
          </w:tcPr>
          <w:p>
            <w:pPr>
              <w:keepNext/>
              <w:spacing w:after="20"/>
              <w:jc w:val="right"/>
            </w:pPr>
            <w:r/>
            <w:r>
              <w:rPr>
                <w:b w:val="0"/>
                <w:i w:val="0"/>
                <w:sz w:val="18"/>
              </w:rPr>
              <w:t>$23,156.40</w:t>
            </w:r>
          </w:p>
        </w:tc>
      </w:tr>
      <w:tr>
        <w:trPr>
          <w:cantSplit/>
        </w:trPr>
        <w:tc>
          <w:tcPr>
            <w:tcW w:type="dxa" w:w="2948"/>
          </w:tcPr>
          <w:p>
            <w:pPr>
              <w:keepNext/>
              <w:spacing w:after="20"/>
            </w:pPr>
            <w:r/>
            <w:r>
              <w:rPr>
                <w:b w:val="0"/>
                <w:i w:val="0"/>
                <w:sz w:val="18"/>
              </w:rPr>
              <w:t>Stage 2: Contributions Framework</w:t>
            </w:r>
          </w:p>
        </w:tc>
        <w:tc>
          <w:tcPr>
            <w:tcW w:type="dxa" w:w="4876"/>
          </w:tcPr>
          <w:p>
            <w:pPr>
              <w:keepNext/>
              <w:spacing w:after="20"/>
            </w:pPr>
            <w:r/>
            <w:r>
              <w:rPr>
                <w:b w:val="0"/>
                <w:i w:val="0"/>
                <w:sz w:val="18"/>
              </w:rPr>
              <w:t>JCE infrastructure demand, OSOM / heavy haulage, car parking, REZ and project management $17,328.00; associate review $800.00; planning partner $14,850.00; risk allowance $906.40</w:t>
            </w:r>
          </w:p>
        </w:tc>
        <w:tc>
          <w:tcPr>
            <w:tcW w:type="dxa" w:w="1814"/>
          </w:tcPr>
          <w:p>
            <w:pPr>
              <w:keepNext/>
              <w:spacing w:after="20"/>
              <w:jc w:val="right"/>
            </w:pPr>
            <w:r/>
            <w:r>
              <w:rPr>
                <w:b w:val="0"/>
                <w:i w:val="0"/>
                <w:sz w:val="18"/>
              </w:rPr>
              <w:t>$33,884.40</w:t>
            </w:r>
          </w:p>
        </w:tc>
      </w:tr>
      <w:tr>
        <w:trPr>
          <w:cantSplit/>
        </w:trPr>
        <w:tc>
          <w:tcPr>
            <w:tcW w:type="dxa" w:w="2948"/>
          </w:tcPr>
          <w:p>
            <w:pPr>
              <w:keepNext/>
              <w:spacing w:after="20"/>
            </w:pPr>
            <w:r/>
            <w:r>
              <w:rPr>
                <w:b w:val="0"/>
                <w:i w:val="0"/>
                <w:sz w:val="18"/>
              </w:rPr>
              <w:t>Stage 3: Preparation of New Contributions Plan</w:t>
            </w:r>
          </w:p>
        </w:tc>
        <w:tc>
          <w:tcPr>
            <w:tcW w:type="dxa" w:w="4876"/>
          </w:tcPr>
          <w:p>
            <w:pPr>
              <w:keepNext/>
              <w:spacing w:after="20"/>
            </w:pPr>
            <w:r/>
            <w:r>
              <w:rPr>
                <w:b w:val="0"/>
                <w:i w:val="0"/>
                <w:sz w:val="18"/>
              </w:rPr>
              <w:t>JCE works schedules, costs, mapping, four revisions, briefings and project management $53,351.50; travel for the in-person briefing $1,700.00; associate review $1,600.00; planning partner $22,275.00; cost planner $8,800.00; risk allowance $2,832.58</w:t>
            </w:r>
          </w:p>
        </w:tc>
        <w:tc>
          <w:tcPr>
            <w:tcW w:type="dxa" w:w="1814"/>
          </w:tcPr>
          <w:p>
            <w:pPr>
              <w:keepNext/>
              <w:spacing w:after="20"/>
              <w:jc w:val="right"/>
            </w:pPr>
            <w:r/>
            <w:r>
              <w:rPr>
                <w:b w:val="0"/>
                <w:i w:val="0"/>
                <w:sz w:val="18"/>
              </w:rPr>
              <w:t>$90,559.08</w:t>
            </w:r>
          </w:p>
        </w:tc>
      </w:tr>
      <w:tr>
        <w:trPr>
          <w:cantSplit/>
        </w:trPr>
        <w:tc>
          <w:tcPr>
            <w:tcW w:type="dxa" w:w="2948"/>
            <w:shd w:val="clear" w:color="auto" w:fill="F6EFD6"/>
          </w:tcPr>
          <w:p>
            <w:pPr>
              <w:keepNext/>
              <w:spacing w:after="20"/>
            </w:pPr>
            <w:r/>
            <w:r>
              <w:rPr>
                <w:b/>
                <w:i w:val="0"/>
                <w:sz w:val="18"/>
              </w:rPr>
              <w:t>Total: lump sum (excl. GST)</w:t>
            </w:r>
          </w:p>
        </w:tc>
        <w:tc>
          <w:tcPr>
            <w:tcW w:type="dxa" w:w="4876"/>
            <w:shd w:val="clear" w:color="auto" w:fill="F6EFD6"/>
          </w:tcPr>
          <w:p>
            <w:pPr>
              <w:keepNext/>
              <w:spacing w:after="20"/>
            </w:pPr>
            <w:r/>
            <w:r>
              <w:rPr>
                <w:b/>
                <w:i w:val="0"/>
                <w:sz w:val="18"/>
              </w:rPr>
            </w:r>
          </w:p>
        </w:tc>
        <w:tc>
          <w:tcPr>
            <w:tcW w:type="dxa" w:w="1814"/>
            <w:shd w:val="clear" w:color="auto" w:fill="F6EFD6"/>
          </w:tcPr>
          <w:p>
            <w:pPr>
              <w:keepNext/>
              <w:spacing w:after="20"/>
              <w:jc w:val="right"/>
            </w:pPr>
            <w:r/>
            <w:r>
              <w:rPr>
                <w:b/>
                <w:i w:val="0"/>
                <w:sz w:val="18"/>
              </w:rPr>
              <w:t>$147,599.88</w:t>
            </w:r>
          </w:p>
        </w:tc>
      </w:tr>
      <w:tr>
        <w:trPr>
          <w:cantSplit/>
        </w:trPr>
        <w:tc>
          <w:tcPr>
            <w:tcW w:type="dxa" w:w="2948"/>
          </w:tcPr>
          <w:p>
            <w:pPr>
              <w:keepNext/>
              <w:spacing w:after="20"/>
            </w:pPr>
            <w:r/>
            <w:r>
              <w:rPr>
                <w:b w:val="0"/>
                <w:i w:val="0"/>
                <w:sz w:val="18"/>
              </w:rPr>
              <w:t>GST (10%)</w:t>
            </w:r>
          </w:p>
        </w:tc>
        <w:tc>
          <w:tcPr>
            <w:tcW w:type="dxa" w:w="4876"/>
          </w:tcPr>
          <w:p>
            <w:pPr>
              <w:keepNext/>
              <w:spacing w:after="20"/>
            </w:pPr>
            <w:r/>
            <w:r>
              <w:rPr>
                <w:b w:val="0"/>
                <w:i w:val="0"/>
                <w:sz w:val="18"/>
              </w:rPr>
            </w:r>
          </w:p>
        </w:tc>
        <w:tc>
          <w:tcPr>
            <w:tcW w:type="dxa" w:w="1814"/>
          </w:tcPr>
          <w:p>
            <w:pPr>
              <w:keepNext/>
              <w:spacing w:after="20"/>
              <w:jc w:val="right"/>
            </w:pPr>
            <w:r/>
            <w:r>
              <w:rPr>
                <w:b w:val="0"/>
                <w:i w:val="0"/>
                <w:sz w:val="18"/>
              </w:rPr>
              <w:t>$14,759.99</w:t>
            </w:r>
          </w:p>
        </w:tc>
      </w:tr>
      <w:tr>
        <w:trPr>
          <w:cantSplit/>
        </w:trPr>
        <w:tc>
          <w:tcPr>
            <w:tcW w:type="dxa" w:w="2948"/>
            <w:shd w:val="clear" w:color="auto" w:fill="F6EFD6"/>
          </w:tcPr>
          <w:p>
            <w:pPr>
              <w:keepNext w:val="0"/>
              <w:spacing w:after="20"/>
            </w:pPr>
            <w:r/>
            <w:r>
              <w:rPr>
                <w:b/>
                <w:i w:val="0"/>
                <w:sz w:val="18"/>
              </w:rPr>
              <w:t>Total (incl. GST)</w:t>
            </w:r>
          </w:p>
        </w:tc>
        <w:tc>
          <w:tcPr>
            <w:tcW w:type="dxa" w:w="4876"/>
            <w:shd w:val="clear" w:color="auto" w:fill="F6EFD6"/>
          </w:tcPr>
          <w:p>
            <w:pPr>
              <w:keepNext w:val="0"/>
              <w:spacing w:after="20"/>
            </w:pPr>
            <w:r/>
            <w:r>
              <w:rPr>
                <w:b/>
                <w:i w:val="0"/>
                <w:sz w:val="18"/>
              </w:rPr>
            </w:r>
          </w:p>
        </w:tc>
        <w:tc>
          <w:tcPr>
            <w:tcW w:type="dxa" w:w="1814"/>
            <w:shd w:val="clear" w:color="auto" w:fill="F6EFD6"/>
          </w:tcPr>
          <w:p>
            <w:pPr>
              <w:keepNext w:val="0"/>
              <w:spacing w:after="20"/>
              <w:jc w:val="right"/>
            </w:pPr>
            <w:r/>
            <w:r>
              <w:rPr>
                <w:b/>
                <w:i w:val="0"/>
                <w:sz w:val="18"/>
              </w:rPr>
              <w:t>$162,359.87</w:t>
            </w:r>
          </w:p>
        </w:tc>
      </w:tr>
    </w:tbl>
    <w:p>
      <w:pPr>
        <w:spacing w:after="40"/>
      </w:pPr>
    </w:p>
    <w:p>
      <w:r>
        <w:rPr>
          <w:b/>
          <w:i w:val="0"/>
        </w:rPr>
        <w:t xml:space="preserve">Payment. </w:t>
      </w:r>
      <w:r>
        <w:rPr>
          <w:b w:val="0"/>
          <w:i w:val="0"/>
        </w:rPr>
        <w:t>Each stage is a milestone amount under Item 4 of the draft contract, invoiced on Completion of the stage and payable within 30 days.</w:t>
      </w:r>
    </w:p>
    <w:p>
      <w:pPr>
        <w:keepNext/>
        <w:spacing w:before="120" w:after="40"/>
      </w:pPr>
      <w:r>
        <w:rPr>
          <w:b/>
          <w:i w:val="0"/>
          <w:color w:val="C9A227"/>
          <w:sz w:val="21"/>
        </w:rPr>
        <w:t>Assumptions</w:t>
      </w:r>
    </w:p>
    <w:p>
      <w:pPr>
        <w:pStyle w:val="ListBullet"/>
        <w:keepNext/>
        <w:spacing w:after="40"/>
      </w:pPr>
      <w:r>
        <w:rPr>
          <w:b w:val="0"/>
          <w:i w:val="0"/>
        </w:rPr>
        <w:t>Commencement in November 2026 and Council review of each deliverable within 10 business days.</w:t>
      </w:r>
    </w:p>
    <w:p>
      <w:pPr>
        <w:pStyle w:val="ListBullet"/>
        <w:keepNext/>
        <w:spacing w:after="40"/>
      </w:pPr>
      <w:r>
        <w:rPr>
          <w:b w:val="0"/>
          <w:i w:val="0"/>
        </w:rPr>
        <w:t>Council provides the 2019 Plan works schedule and cost model in editable form, records of contributions received, held and spent, its adopted strategies, the draft OSOM plan, and population and dwelling data it holds.</w:t>
      </w:r>
    </w:p>
    <w:p>
      <w:pPr>
        <w:pStyle w:val="ListBullet"/>
        <w:keepNext/>
        <w:spacing w:after="40"/>
      </w:pPr>
      <w:r>
        <w:rPr>
          <w:b w:val="0"/>
          <w:i w:val="0"/>
        </w:rPr>
        <w:t>Up to 10 Teams project meetings, plus one virtual and one in-person briefing (one trip to Mudgee).</w:t>
      </w:r>
    </w:p>
    <w:p>
      <w:pPr>
        <w:pStyle w:val="ListBullet"/>
        <w:keepNext/>
        <w:spacing w:after="40"/>
      </w:pPr>
      <w:r>
        <w:rPr>
          <w:b w:val="0"/>
          <w:i w:val="0"/>
        </w:rPr>
        <w:t>Four revisions of draft documents; one public exhibition, run by Council.</w:t>
      </w:r>
    </w:p>
    <w:p>
      <w:pPr>
        <w:pStyle w:val="ListBullet"/>
        <w:spacing w:after="40"/>
      </w:pPr>
      <w:r>
        <w:rPr>
          <w:b w:val="0"/>
          <w:i w:val="0"/>
        </w:rPr>
        <w:t>About 70 transport, car parking and stormwater works items, and a community, recreation and open space schedule of similar size to 2019.</w:t>
      </w:r>
    </w:p>
    <w:p>
      <w:pPr>
        <w:keepNext/>
        <w:spacing w:before="120" w:after="40"/>
      </w:pPr>
      <w:r>
        <w:rPr>
          <w:b/>
          <w:i w:val="0"/>
          <w:color w:val="C9A227"/>
          <w:sz w:val="21"/>
        </w:rPr>
        <w:t>Exclusions</w:t>
      </w:r>
    </w:p>
    <w:p>
      <w:pPr>
        <w:pStyle w:val="ListBullet"/>
        <w:keepNext/>
        <w:spacing w:after="40"/>
      </w:pPr>
      <w:r>
        <w:rPr>
          <w:b w:val="0"/>
          <w:i w:val="0"/>
        </w:rPr>
        <w:t>Survey, geotechnical investigation, traffic counts or modelling, and flood or drainage modelling.</w:t>
      </w:r>
    </w:p>
    <w:p>
      <w:pPr>
        <w:pStyle w:val="ListBullet"/>
        <w:keepNext/>
        <w:spacing w:after="40"/>
      </w:pPr>
      <w:r>
        <w:rPr>
          <w:b w:val="0"/>
          <w:i w:val="0"/>
        </w:rPr>
        <w:t>Concept or detailed design of works items beyond the scoping needed for cost estimates.</w:t>
      </w:r>
    </w:p>
    <w:p>
      <w:pPr>
        <w:pStyle w:val="ListBullet"/>
        <w:keepNext/>
        <w:spacing w:after="40"/>
      </w:pPr>
      <w:r>
        <w:rPr>
          <w:b w:val="0"/>
          <w:i w:val="0"/>
        </w:rPr>
        <w:t>Land valuation for acquisition.</w:t>
      </w:r>
    </w:p>
    <w:p>
      <w:pPr>
        <w:pStyle w:val="ListBullet"/>
        <w:keepNext/>
        <w:spacing w:after="40"/>
      </w:pPr>
      <w:r>
        <w:rPr>
          <w:b w:val="0"/>
          <w:i w:val="0"/>
        </w:rPr>
        <w:t>Planning agreements, works-in-kind negotiations and Section 64 development servicing plans.</w:t>
      </w:r>
    </w:p>
    <w:p>
      <w:pPr>
        <w:pStyle w:val="ListBullet"/>
        <w:keepNext/>
        <w:spacing w:after="40"/>
      </w:pPr>
      <w:r>
        <w:rPr>
          <w:b w:val="0"/>
          <w:i w:val="0"/>
        </w:rPr>
        <w:t>Legal review, and representation at any IPART review or court proceedings.</w:t>
      </w:r>
    </w:p>
    <w:p>
      <w:pPr>
        <w:pStyle w:val="ListBullet"/>
        <w:spacing w:after="40"/>
      </w:pPr>
      <w:r>
        <w:rPr>
          <w:b w:val="0"/>
          <w:i w:val="0"/>
        </w:rPr>
        <w:t>A second public exhibition after material changes by Council.</w:t>
      </w:r>
    </w:p>
    <w:p>
      <w:pPr>
        <w:keepNext/>
        <w:spacing w:before="240" w:after="80"/>
        <w:pBdr>
          <w:bottom w:val="single" w:sz="8" w:space="1" w:color="C9A227"/>
        </w:pBdr>
      </w:pPr>
      <w:r>
        <w:rPr>
          <w:b/>
          <w:i w:val="0"/>
          <w:color w:val="000000"/>
          <w:sz w:val="26"/>
        </w:rPr>
        <w:t>7. Rates for variations</w:t>
      </w:r>
    </w:p>
    <w:p>
      <w:pPr>
        <w:keepNext/>
      </w:pPr>
      <w:r>
        <w:rPr>
          <w:b w:val="0"/>
          <w:i w:val="0"/>
        </w:rPr>
        <w:t>Variations directed by Council under clause 6 of the draft contract are valued at the rates below (Schedule 4).</w:t>
      </w:r>
    </w:p>
    <w:tbl>
      <w:tblPr>
        <w:tblStyle w:val="TableGrid"/>
        <w:tblW w:type="auto" w:w="0"/>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1A1A1A"/>
          </w:tcPr>
          <w:p>
            <w:pPr>
              <w:keepNext/>
              <w:spacing w:after="20"/>
            </w:pPr>
            <w:r/>
            <w:r>
              <w:rPr>
                <w:b/>
                <w:i w:val="0"/>
                <w:color w:val="FFFFFF"/>
                <w:sz w:val="18"/>
              </w:rPr>
              <w:t>Role</w:t>
            </w:r>
          </w:p>
        </w:tc>
        <w:tc>
          <w:tcPr>
            <w:tcW w:type="dxa" w:w="3969"/>
            <w:shd w:val="clear" w:color="auto" w:fill="1A1A1A"/>
          </w:tcPr>
          <w:p>
            <w:pPr>
              <w:keepNext/>
              <w:spacing w:after="20"/>
            </w:pPr>
            <w:r/>
            <w:r>
              <w:rPr>
                <w:b/>
                <w:i w:val="0"/>
                <w:color w:val="FFFFFF"/>
                <w:sz w:val="18"/>
              </w:rPr>
              <w:t>Rate (excl. GST)</w:t>
            </w:r>
          </w:p>
        </w:tc>
      </w:tr>
      <w:tr>
        <w:trPr>
          <w:cantSplit/>
        </w:trPr>
        <w:tc>
          <w:tcPr>
            <w:tcW w:type="dxa" w:w="5669"/>
          </w:tcPr>
          <w:p>
            <w:pPr>
              <w:keepNext/>
              <w:spacing w:after="20"/>
            </w:pPr>
            <w:r/>
            <w:r>
              <w:rPr>
                <w:b w:val="0"/>
                <w:i w:val="0"/>
                <w:sz w:val="18"/>
              </w:rPr>
              <w:t>Director / Principal Engineer (Jayden Callen)</w:t>
            </w:r>
          </w:p>
        </w:tc>
        <w:tc>
          <w:tcPr>
            <w:tcW w:type="dxa" w:w="3969"/>
          </w:tcPr>
          <w:p>
            <w:pPr>
              <w:keepNext/>
              <w:spacing w:after="20"/>
              <w:jc w:val="right"/>
            </w:pPr>
            <w:r/>
            <w:r>
              <w:rPr>
                <w:b w:val="0"/>
                <w:i w:val="0"/>
                <w:sz w:val="18"/>
              </w:rPr>
              <w:t>$200 / hour</w:t>
            </w:r>
          </w:p>
        </w:tc>
      </w:tr>
      <w:tr>
        <w:trPr>
          <w:cantSplit/>
        </w:trPr>
        <w:tc>
          <w:tcPr>
            <w:tcW w:type="dxa" w:w="5669"/>
          </w:tcPr>
          <w:p>
            <w:pPr>
              <w:keepNext/>
              <w:spacing w:after="20"/>
            </w:pPr>
            <w:r/>
            <w:r>
              <w:rPr>
                <w:b w:val="0"/>
                <w:i w:val="0"/>
                <w:sz w:val="18"/>
              </w:rPr>
              <w:t>Associate certifying engineer (Sunny Lotay)</w:t>
            </w:r>
          </w:p>
        </w:tc>
        <w:tc>
          <w:tcPr>
            <w:tcW w:type="dxa" w:w="3969"/>
          </w:tcPr>
          <w:p>
            <w:pPr>
              <w:keepNext/>
              <w:spacing w:after="20"/>
              <w:jc w:val="right"/>
            </w:pPr>
            <w:r/>
            <w:r>
              <w:rPr>
                <w:b w:val="0"/>
                <w:i w:val="0"/>
                <w:sz w:val="18"/>
              </w:rPr>
              <w:t>$200 / hour</w:t>
            </w:r>
          </w:p>
        </w:tc>
      </w:tr>
      <w:tr>
        <w:trPr>
          <w:cantSplit/>
        </w:trPr>
        <w:tc>
          <w:tcPr>
            <w:tcW w:type="dxa" w:w="5669"/>
          </w:tcPr>
          <w:p>
            <w:pPr>
              <w:keepNext/>
              <w:spacing w:after="20"/>
            </w:pPr>
            <w:r/>
            <w:r>
              <w:rPr>
                <w:b w:val="0"/>
                <w:i w:val="0"/>
                <w:sz w:val="18"/>
              </w:rPr>
              <w:t>Senior Engineer</w:t>
            </w:r>
          </w:p>
        </w:tc>
        <w:tc>
          <w:tcPr>
            <w:tcW w:type="dxa" w:w="3969"/>
          </w:tcPr>
          <w:p>
            <w:pPr>
              <w:keepNext/>
              <w:spacing w:after="20"/>
              <w:jc w:val="right"/>
            </w:pPr>
            <w:r/>
            <w:r>
              <w:rPr>
                <w:b w:val="0"/>
                <w:i w:val="0"/>
                <w:sz w:val="18"/>
              </w:rPr>
              <w:t>$190 / hour</w:t>
            </w:r>
          </w:p>
        </w:tc>
      </w:tr>
      <w:tr>
        <w:trPr>
          <w:cantSplit/>
        </w:trPr>
        <w:tc>
          <w:tcPr>
            <w:tcW w:type="dxa" w:w="5669"/>
          </w:tcPr>
          <w:p>
            <w:pPr>
              <w:keepNext/>
              <w:spacing w:after="20"/>
            </w:pPr>
            <w:r/>
            <w:r>
              <w:rPr>
                <w:b w:val="0"/>
                <w:i w:val="0"/>
                <w:sz w:val="18"/>
              </w:rPr>
              <w:t>Project Engineer</w:t>
            </w:r>
          </w:p>
        </w:tc>
        <w:tc>
          <w:tcPr>
            <w:tcW w:type="dxa" w:w="3969"/>
          </w:tcPr>
          <w:p>
            <w:pPr>
              <w:keepNext/>
              <w:spacing w:after="20"/>
              <w:jc w:val="right"/>
            </w:pPr>
            <w:r/>
            <w:r>
              <w:rPr>
                <w:b w:val="0"/>
                <w:i w:val="0"/>
                <w:sz w:val="18"/>
              </w:rPr>
              <w:t>$180 / hour</w:t>
            </w:r>
          </w:p>
        </w:tc>
      </w:tr>
      <w:tr>
        <w:trPr>
          <w:cantSplit/>
        </w:trPr>
        <w:tc>
          <w:tcPr>
            <w:tcW w:type="dxa" w:w="5669"/>
          </w:tcPr>
          <w:p>
            <w:pPr>
              <w:keepNext/>
              <w:spacing w:after="20"/>
            </w:pPr>
            <w:r/>
            <w:r>
              <w:rPr>
                <w:b w:val="0"/>
                <w:i w:val="0"/>
                <w:sz w:val="18"/>
              </w:rPr>
              <w:t>Design Engineer</w:t>
            </w:r>
          </w:p>
        </w:tc>
        <w:tc>
          <w:tcPr>
            <w:tcW w:type="dxa" w:w="3969"/>
          </w:tcPr>
          <w:p>
            <w:pPr>
              <w:keepNext/>
              <w:spacing w:after="20"/>
              <w:jc w:val="right"/>
            </w:pPr>
            <w:r/>
            <w:r>
              <w:rPr>
                <w:b w:val="0"/>
                <w:i w:val="0"/>
                <w:sz w:val="18"/>
              </w:rPr>
              <w:t>$170 / hour</w:t>
            </w:r>
          </w:p>
        </w:tc>
      </w:tr>
      <w:tr>
        <w:trPr>
          <w:cantSplit/>
        </w:trPr>
        <w:tc>
          <w:tcPr>
            <w:tcW w:type="dxa" w:w="5669"/>
          </w:tcPr>
          <w:p>
            <w:pPr>
              <w:keepNext/>
              <w:spacing w:after="20"/>
            </w:pPr>
            <w:r/>
            <w:r>
              <w:rPr>
                <w:b w:val="0"/>
                <w:i w:val="0"/>
                <w:sz w:val="18"/>
              </w:rPr>
              <w:t>CAD / GIS Technician</w:t>
            </w:r>
          </w:p>
        </w:tc>
        <w:tc>
          <w:tcPr>
            <w:tcW w:type="dxa" w:w="3969"/>
          </w:tcPr>
          <w:p>
            <w:pPr>
              <w:keepNext/>
              <w:spacing w:after="20"/>
              <w:jc w:val="right"/>
            </w:pPr>
            <w:r/>
            <w:r>
              <w:rPr>
                <w:b w:val="0"/>
                <w:i w:val="0"/>
                <w:sz w:val="18"/>
              </w:rPr>
              <w:t>$160 / hour</w:t>
            </w:r>
          </w:p>
        </w:tc>
      </w:tr>
      <w:tr>
        <w:trPr>
          <w:cantSplit/>
        </w:trPr>
        <w:tc>
          <w:tcPr>
            <w:tcW w:type="dxa" w:w="5669"/>
          </w:tcPr>
          <w:p>
            <w:pPr>
              <w:keepNext w:val="0"/>
              <w:spacing w:after="20"/>
            </w:pPr>
            <w:r/>
            <w:r>
              <w:rPr>
                <w:b w:val="0"/>
                <w:i w:val="0"/>
                <w:sz w:val="18"/>
              </w:rPr>
              <w:t>Planning partner and cost planner</w:t>
            </w:r>
          </w:p>
        </w:tc>
        <w:tc>
          <w:tcPr>
            <w:tcW w:type="dxa" w:w="3969"/>
          </w:tcPr>
          <w:p>
            <w:pPr>
              <w:keepNext w:val="0"/>
              <w:spacing w:after="20"/>
            </w:pPr>
            <w:r/>
            <w:r>
              <w:rPr>
                <w:b w:val="0"/>
                <w:i w:val="0"/>
                <w:sz w:val="18"/>
              </w:rPr>
              <w:t>[TBC - Jayden: from their quotes]</w:t>
            </w:r>
          </w:p>
        </w:tc>
      </w:tr>
    </w:tbl>
    <w:p>
      <w:pPr>
        <w:spacing w:after="40"/>
      </w:pPr>
    </w:p>
    <w:p>
      <w:pPr>
        <w:keepNext/>
        <w:spacing w:before="240" w:after="80"/>
        <w:pBdr>
          <w:bottom w:val="single" w:sz="8" w:space="1" w:color="C9A227"/>
        </w:pBdr>
      </w:pPr>
      <w:r>
        <w:rPr>
          <w:b/>
          <w:i w:val="0"/>
          <w:color w:val="000000"/>
          <w:sz w:val="26"/>
        </w:rPr>
        <w:t>8. Insurance and compliance</w:t>
      </w:r>
    </w:p>
    <w:tbl>
      <w:tblPr>
        <w:tblStyle w:val="TableGrid"/>
        <w:tblW w:type="auto" w:w="0"/>
        <w:jc w:val="center"/>
        <w:tblLayout w:type="fixed"/>
        <w:tblLook w:firstColumn="1" w:firstRow="1" w:lastColumn="0" w:lastRow="0" w:noHBand="0" w:noVBand="1" w:val="04A0"/>
        <w:tblLayout w:type="fixed"/>
      </w:tblPr>
      <w:tblGrid>
        <w:gridCol w:w="3402"/>
        <w:gridCol w:w="6237"/>
      </w:tblGrid>
      <w:tr>
        <w:trPr>
          <w:cantSplit/>
        </w:trPr>
        <w:tc>
          <w:tcPr>
            <w:tcW w:type="dxa" w:w="3402"/>
            <w:shd w:val="clear" w:color="auto" w:fill="1A1A1A"/>
          </w:tcPr>
          <w:p>
            <w:pPr>
              <w:keepNext/>
              <w:spacing w:after="20"/>
            </w:pPr>
            <w:r/>
            <w:r>
              <w:rPr>
                <w:b/>
                <w:i w:val="0"/>
                <w:color w:val="FFFFFF"/>
                <w:sz w:val="18"/>
              </w:rPr>
              <w:t>Requirement (RFQ and contract Item 10)</w:t>
            </w:r>
          </w:p>
        </w:tc>
        <w:tc>
          <w:tcPr>
            <w:tcW w:type="dxa" w:w="6236"/>
            <w:shd w:val="clear" w:color="auto" w:fill="1A1A1A"/>
          </w:tcPr>
          <w:p>
            <w:pPr>
              <w:keepNext/>
              <w:spacing w:after="20"/>
            </w:pPr>
            <w:r/>
            <w:r>
              <w:rPr>
                <w:b/>
                <w:i w:val="0"/>
                <w:color w:val="FFFFFF"/>
                <w:sz w:val="18"/>
              </w:rPr>
              <w:t>JCE position</w:t>
            </w:r>
          </w:p>
        </w:tc>
      </w:tr>
      <w:tr>
        <w:trPr>
          <w:cantSplit/>
        </w:trPr>
        <w:tc>
          <w:tcPr>
            <w:tcW w:type="dxa" w:w="3402"/>
          </w:tcPr>
          <w:p>
            <w:pPr>
              <w:keepNext/>
              <w:spacing w:after="20"/>
            </w:pPr>
            <w:r/>
            <w:r>
              <w:rPr>
                <w:b w:val="0"/>
                <w:i w:val="0"/>
                <w:sz w:val="18"/>
              </w:rPr>
              <w:t>Public / products liability $20 million</w:t>
            </w:r>
          </w:p>
        </w:tc>
        <w:tc>
          <w:tcPr>
            <w:tcW w:type="dxa" w:w="6236"/>
          </w:tcPr>
          <w:p>
            <w:pPr>
              <w:keepNext/>
              <w:spacing w:after="20"/>
            </w:pPr>
            <w:r/>
            <w:r>
              <w:rPr>
                <w:b w:val="0"/>
                <w:i w:val="0"/>
                <w:sz w:val="18"/>
              </w:rPr>
              <w:t>JCE currently holds $10 million (Zurich, to 02/07/2027). A quote to increase cover to $20 million was requested on 12/10/2026. [TBC - Jayden: replace with "$20 million held" and attach the certificate once bound.]</w:t>
            </w:r>
          </w:p>
        </w:tc>
      </w:tr>
      <w:tr>
        <w:trPr>
          <w:cantSplit/>
        </w:trPr>
        <w:tc>
          <w:tcPr>
            <w:tcW w:type="dxa" w:w="3402"/>
          </w:tcPr>
          <w:p>
            <w:pPr>
              <w:keepNext/>
              <w:spacing w:after="20"/>
            </w:pPr>
            <w:r/>
            <w:r>
              <w:rPr>
                <w:b w:val="0"/>
                <w:i w:val="0"/>
                <w:sz w:val="18"/>
              </w:rPr>
              <w:t>Professional indemnity $5 million, maintained for seven years after Completion</w:t>
            </w:r>
          </w:p>
        </w:tc>
        <w:tc>
          <w:tcPr>
            <w:tcW w:type="dxa" w:w="6236"/>
          </w:tcPr>
          <w:p>
            <w:pPr>
              <w:keepNext/>
              <w:spacing w:after="20"/>
            </w:pPr>
            <w:r/>
            <w:r>
              <w:rPr>
                <w:b w:val="0"/>
                <w:i w:val="0"/>
                <w:sz w:val="18"/>
              </w:rPr>
              <w:t>Held: $10 million any one claim, $20 million aggregate (Lloyd's, led by Markel, to 02/07/2027). Certificate attached.</w:t>
            </w:r>
          </w:p>
        </w:tc>
      </w:tr>
      <w:tr>
        <w:trPr>
          <w:cantSplit/>
        </w:trPr>
        <w:tc>
          <w:tcPr>
            <w:tcW w:type="dxa" w:w="3402"/>
          </w:tcPr>
          <w:p>
            <w:pPr>
              <w:keepNext/>
              <w:spacing w:after="20"/>
            </w:pPr>
            <w:r/>
            <w:r>
              <w:rPr>
                <w:b w:val="0"/>
                <w:i w:val="0"/>
                <w:sz w:val="18"/>
              </w:rPr>
              <w:t>Workers compensation</w:t>
            </w:r>
          </w:p>
        </w:tc>
        <w:tc>
          <w:tcPr>
            <w:tcW w:type="dxa" w:w="6236"/>
          </w:tcPr>
          <w:p>
            <w:pPr>
              <w:keepNext/>
              <w:spacing w:after="20"/>
            </w:pPr>
            <w:r/>
            <w:r>
              <w:rPr>
                <w:b w:val="0"/>
                <w:i w:val="0"/>
                <w:sz w:val="18"/>
              </w:rPr>
              <w:t>Held. Letter of appointment attached. [TBC - Jayden: attach the certificate of currency.]</w:t>
            </w:r>
          </w:p>
        </w:tc>
      </w:tr>
      <w:tr>
        <w:trPr>
          <w:cantSplit/>
        </w:trPr>
        <w:tc>
          <w:tcPr>
            <w:tcW w:type="dxa" w:w="3402"/>
          </w:tcPr>
          <w:p>
            <w:pPr>
              <w:keepNext w:val="0"/>
              <w:spacing w:after="20"/>
            </w:pPr>
            <w:r/>
            <w:r>
              <w:rPr>
                <w:b w:val="0"/>
                <w:i w:val="0"/>
                <w:sz w:val="18"/>
              </w:rPr>
              <w:t>Subconsultant professional indemnity</w:t>
            </w:r>
          </w:p>
        </w:tc>
        <w:tc>
          <w:tcPr>
            <w:tcW w:type="dxa" w:w="6236"/>
          </w:tcPr>
          <w:p>
            <w:pPr>
              <w:keepNext w:val="0"/>
              <w:spacing w:after="20"/>
            </w:pPr>
            <w:r/>
            <w:r>
              <w:rPr>
                <w:b w:val="0"/>
                <w:i w:val="0"/>
                <w:sz w:val="18"/>
              </w:rPr>
              <w:t>Planning partner and cost planner PI to be confirmed against Item 10(c). [TBC - Jayden]</w:t>
            </w:r>
          </w:p>
        </w:tc>
      </w:tr>
    </w:tbl>
    <w:p>
      <w:pPr>
        <w:spacing w:after="40"/>
      </w:pPr>
    </w:p>
    <w:p>
      <w:r>
        <w:rPr>
          <w:b/>
          <w:i w:val="0"/>
        </w:rPr>
        <w:t xml:space="preserve">WHS. </w:t>
      </w:r>
      <w:r>
        <w:rPr>
          <w:b w:val="0"/>
          <w:i w:val="0"/>
        </w:rPr>
        <w:t>JCE will sign Proforma 1 (WHS Expectations and Responsibilities, Medium Risk Work) and provide a risk assessment for a similar activity within the last 12 months, as required by Council's WHS702 document.</w:t>
      </w:r>
    </w:p>
    <w:p>
      <w:r>
        <w:rPr>
          <w:b/>
          <w:i w:val="0"/>
        </w:rPr>
        <w:t xml:space="preserve">Policies. </w:t>
      </w:r>
      <w:r>
        <w:rPr>
          <w:b w:val="0"/>
          <w:i w:val="0"/>
        </w:rPr>
        <w:t>JCE's WHS, quality, environmental and modern slavery policies are attached.</w:t>
      </w:r>
    </w:p>
    <w:p>
      <w:pPr>
        <w:keepNext/>
        <w:spacing w:before="240" w:after="80"/>
        <w:pBdr>
          <w:bottom w:val="single" w:sz="8" w:space="1" w:color="C9A227"/>
        </w:pBdr>
      </w:pPr>
      <w:r>
        <w:rPr>
          <w:b/>
          <w:i w:val="0"/>
          <w:color w:val="000000"/>
          <w:sz w:val="26"/>
        </w:rPr>
        <w:t>9. Conditions of contract</w:t>
      </w:r>
    </w:p>
    <w:p>
      <w:r>
        <w:rPr>
          <w:b w:val="0"/>
          <w:i w:val="0"/>
        </w:rPr>
        <w:t>JCE has reviewed Council's draft Minor Consultancy Contract (Non-Capital Works) and will contract on it. [TBC - Jayden: confirm "JCE offers no departures", or list them here.]</w:t>
      </w:r>
    </w:p>
    <w:p>
      <w:pPr>
        <w:keepNext/>
        <w:spacing w:before="240" w:after="80"/>
        <w:pBdr>
          <w:bottom w:val="single" w:sz="8" w:space="1" w:color="C9A227"/>
        </w:pBdr>
      </w:pPr>
      <w:r>
        <w:rPr>
          <w:b/>
          <w:i w:val="0"/>
          <w:color w:val="000000"/>
          <w:sz w:val="26"/>
        </w:rPr>
        <w:t>10. Local preference</w:t>
      </w:r>
    </w:p>
    <w:p>
      <w:r>
        <w:rPr>
          <w:b w:val="0"/>
          <w:i w:val="0"/>
        </w:rPr>
        <w:t>JCE does not have a shop front or depot in the Mid-Western Regional Council LGA.</w:t>
      </w:r>
    </w:p>
    <w:p>
      <w:pPr>
        <w:keepNext/>
        <w:spacing w:before="240" w:after="80"/>
        <w:pBdr>
          <w:bottom w:val="single" w:sz="8" w:space="1" w:color="C9A227"/>
        </w:pBdr>
      </w:pPr>
      <w:r>
        <w:rPr>
          <w:b/>
          <w:i w:val="0"/>
          <w:color w:val="000000"/>
          <w:sz w:val="26"/>
        </w:rPr>
        <w:t>11. Conflict of interest</w:t>
      </w:r>
    </w:p>
    <w:p>
      <w:r>
        <w:rPr>
          <w:b w:val="0"/>
          <w:i w:val="0"/>
        </w:rPr>
        <w:t>JCE has no conflict of interest in this engagement. [TBC - Jayden: confirm, and record any conflict declared by the planning partner with the proposed management measure.]</w:t>
      </w:r>
    </w:p>
    <w:p>
      <w:pPr>
        <w:keepNext/>
        <w:spacing w:before="240" w:after="80"/>
        <w:pBdr>
          <w:bottom w:val="single" w:sz="8" w:space="1" w:color="C9A227"/>
        </w:pBdr>
      </w:pPr>
      <w:r>
        <w:rPr>
          <w:b/>
          <w:i w:val="0"/>
          <w:color w:val="000000"/>
          <w:sz w:val="26"/>
        </w:rPr>
        <w:t>12. Validity</w:t>
      </w:r>
    </w:p>
    <w:p>
      <w:r>
        <w:rPr>
          <w:b w:val="0"/>
          <w:i w:val="0"/>
        </w:rPr>
        <w:t>This proposal is valid for 90 days from the RFQ closing date.</w:t>
      </w:r>
    </w:p>
    <w:p>
      <w:pPr>
        <w:keepNext/>
        <w:spacing w:before="240" w:after="80"/>
        <w:pBdr>
          <w:bottom w:val="single" w:sz="8" w:space="1" w:color="C9A227"/>
        </w:pBdr>
      </w:pPr>
      <w:r>
        <w:rPr>
          <w:b/>
          <w:i w:val="0"/>
          <w:color w:val="000000"/>
          <w:sz w:val="26"/>
        </w:rPr>
        <w:t>13. Offer</w:t>
      </w:r>
    </w:p>
    <w:p>
      <w:pPr>
        <w:keepNext/>
      </w:pPr>
      <w:r>
        <w:rPr>
          <w:b w:val="0"/>
          <w:i w:val="0"/>
        </w:rPr>
        <w:t>JCE offers to carry out the services described in this proposal for the lump sum in Section 6, on Council's draft Minor Consultancy Contract.</w:t>
      </w:r>
    </w:p>
    <w:tbl>
      <w:tblPr>
        <w:tblStyle w:val="TableGrid"/>
        <w:tblW w:type="auto" w:w="0"/>
        <w:tblLayout w:type="fixed"/>
        <w:tblLook w:firstColumn="1" w:firstRow="1" w:lastColumn="0" w:lastRow="0" w:noHBand="0" w:noVBand="1" w:val="04A0"/>
        <w:tblLayout w:type="fixed"/>
      </w:tblPr>
      <w:tblGrid>
        <w:gridCol w:w="4819"/>
        <w:gridCol w:w="4819"/>
      </w:tblGrid>
      <w:tr>
        <w:trPr>
          <w:cantSplit/>
        </w:trPr>
        <w:tc>
          <w:tcPr>
            <w:tcW w:type="dxa" w:w="4819"/>
          </w:tcPr>
          <w:p>
            <w:pPr>
              <w:keepNext/>
            </w:pPr>
            <w:r/>
            <w:r>
              <w:rPr>
                <w:b/>
                <w:i w:val="0"/>
                <w:sz w:val="18"/>
              </w:rPr>
              <w:t>Offered by</w:t>
            </w:r>
          </w:p>
          <w:p>
            <w:pPr>
              <w:keepNext/>
            </w:pPr>
            <w:r>
              <w:rPr>
                <w:b w:val="0"/>
                <w:i w:val="0"/>
                <w:sz w:val="18"/>
              </w:rPr>
            </w:r>
          </w:p>
          <w:p>
            <w:pPr>
              <w:keepNext/>
            </w:pPr>
            <w:r>
              <w:rPr>
                <w:b w:val="0"/>
                <w:i w:val="0"/>
                <w:sz w:val="18"/>
              </w:rPr>
              <w:t>[signature]</w:t>
            </w:r>
          </w:p>
          <w:p>
            <w:pPr>
              <w:keepNext/>
            </w:pPr>
            <w:r>
              <w:rPr>
                <w:b w:val="0"/>
                <w:i w:val="0"/>
                <w:sz w:val="18"/>
              </w:rPr>
            </w:r>
          </w:p>
          <w:p>
            <w:pPr>
              <w:keepNext/>
            </w:pPr>
            <w:r>
              <w:rPr>
                <w:b/>
                <w:i w:val="0"/>
                <w:sz w:val="18"/>
              </w:rPr>
              <w:t>Jayden Callen</w:t>
            </w:r>
          </w:p>
          <w:p>
            <w:pPr>
              <w:keepNext/>
            </w:pPr>
            <w:r>
              <w:rPr>
                <w:b w:val="0"/>
                <w:i w:val="0"/>
                <w:sz w:val="18"/>
              </w:rPr>
              <w:t>Director, JCE Infrastructure Pty Ltd</w:t>
            </w:r>
          </w:p>
          <w:p>
            <w:pPr>
              <w:keepNext/>
            </w:pPr>
            <w:r>
              <w:rPr>
                <w:b w:val="0"/>
                <w:i w:val="0"/>
                <w:sz w:val="18"/>
              </w:rPr>
              <w:t>ABN 29 699 165 663</w:t>
            </w:r>
          </w:p>
          <w:p>
            <w:pPr>
              <w:keepNext/>
            </w:pPr>
            <w:r>
              <w:rPr>
                <w:b w:val="0"/>
                <w:i w:val="0"/>
                <w:sz w:val="18"/>
              </w:rPr>
              <w:t>Date: ____ / ____ / 2026</w:t>
            </w:r>
          </w:p>
        </w:tc>
        <w:tc>
          <w:tcPr>
            <w:tcW w:type="dxa" w:w="4819"/>
          </w:tcPr>
          <w:p>
            <w:pPr>
              <w:keepNext/>
            </w:pPr>
            <w:r/>
            <w:r>
              <w:rPr>
                <w:b/>
                <w:i w:val="0"/>
                <w:sz w:val="18"/>
              </w:rPr>
              <w:t>Accepted for and on behalf of Mid-Western Regional Council</w:t>
            </w:r>
          </w:p>
          <w:p>
            <w:pPr>
              <w:keepNext/>
            </w:pPr>
            <w:r>
              <w:rPr>
                <w:b w:val="0"/>
                <w:i w:val="0"/>
                <w:sz w:val="18"/>
              </w:rPr>
            </w:r>
          </w:p>
          <w:p>
            <w:pPr>
              <w:keepNext/>
            </w:pPr>
            <w:r>
              <w:rPr>
                <w:b w:val="0"/>
                <w:i w:val="0"/>
                <w:sz w:val="18"/>
              </w:rPr>
              <w:t>Signature: ______________________</w:t>
            </w:r>
          </w:p>
          <w:p>
            <w:pPr>
              <w:keepNext/>
            </w:pPr>
            <w:r>
              <w:rPr>
                <w:b w:val="0"/>
                <w:i w:val="0"/>
                <w:sz w:val="18"/>
              </w:rPr>
            </w:r>
          </w:p>
          <w:p>
            <w:pPr>
              <w:keepNext/>
            </w:pPr>
            <w:r>
              <w:rPr>
                <w:b w:val="0"/>
                <w:i w:val="0"/>
                <w:sz w:val="18"/>
              </w:rPr>
              <w:t>Name: __________________________</w:t>
            </w:r>
          </w:p>
          <w:p>
            <w:pPr>
              <w:keepNext/>
            </w:pPr>
            <w:r>
              <w:rPr>
                <w:b w:val="0"/>
                <w:i w:val="0"/>
                <w:sz w:val="18"/>
              </w:rPr>
              <w:t>Position: _______________________</w:t>
            </w:r>
          </w:p>
          <w:p>
            <w:pPr>
              <w:keepNext/>
            </w:pPr>
            <w:r>
              <w:rPr>
                <w:b w:val="0"/>
                <w:i w:val="0"/>
                <w:sz w:val="18"/>
              </w:rPr>
            </w:r>
          </w:p>
          <w:p>
            <w:pPr>
              <w:keepNext/>
            </w:pPr>
            <w:r>
              <w:rPr>
                <w:b w:val="0"/>
                <w:i w:val="0"/>
                <w:sz w:val="18"/>
              </w:rPr>
              <w:t>Date: ____ / ____ / ______</w:t>
            </w:r>
          </w:p>
        </w:tc>
      </w:tr>
    </w:tbl>
    <w:p>
      <w:pPr>
        <w:keepNext/>
        <w:spacing w:before="240" w:after="80"/>
        <w:pBdr>
          <w:bottom w:val="single" w:sz="8" w:space="1" w:color="C9A227"/>
        </w:pBdr>
      </w:pPr>
      <w:r>
        <w:rPr>
          <w:b/>
          <w:i w:val="0"/>
          <w:color w:val="000000"/>
          <w:sz w:val="26"/>
        </w:rPr>
        <w:t>Attachments</w:t>
      </w:r>
    </w:p>
    <w:p>
      <w:pPr>
        <w:pStyle w:val="ListBullet"/>
        <w:keepNext/>
        <w:spacing w:after="40"/>
      </w:pPr>
      <w:r>
        <w:rPr>
          <w:b w:val="0"/>
          <w:i w:val="0"/>
        </w:rPr>
        <w:t>Council's response form (2_RFQ-Contributions-Plan-Proponent-to-complete), completed.</w:t>
      </w:r>
    </w:p>
    <w:p>
      <w:pPr>
        <w:pStyle w:val="ListBullet"/>
        <w:keepNext/>
        <w:spacing w:after="40"/>
      </w:pPr>
      <w:r>
        <w:rPr>
          <w:b w:val="0"/>
          <w:i w:val="0"/>
        </w:rPr>
        <w:t>Proforma 1, WHS Expectations and Responsibilities Agreement (Medium Risk Work), signed, and a risk assessment for a similar activity.</w:t>
      </w:r>
    </w:p>
    <w:p>
      <w:pPr>
        <w:pStyle w:val="ListBullet"/>
        <w:keepNext/>
        <w:spacing w:after="40"/>
      </w:pPr>
      <w:r>
        <w:rPr>
          <w:b w:val="0"/>
          <w:i w:val="0"/>
        </w:rPr>
        <w:t>Certificates of currency: professional indemnity and public liability; workers compensation.</w:t>
      </w:r>
    </w:p>
    <w:p>
      <w:pPr>
        <w:pStyle w:val="ListBullet"/>
        <w:keepNext/>
        <w:spacing w:after="40"/>
      </w:pPr>
      <w:r>
        <w:rPr>
          <w:b w:val="0"/>
          <w:i w:val="0"/>
        </w:rPr>
        <w:t>Jayden Callen detailed CV; JCE Capability Statement (Councils).</w:t>
      </w:r>
    </w:p>
    <w:p>
      <w:pPr>
        <w:pStyle w:val="ListBullet"/>
        <w:keepNext/>
        <w:spacing w:after="40"/>
      </w:pPr>
      <w:r>
        <w:rPr>
          <w:b w:val="0"/>
          <w:i w:val="0"/>
        </w:rPr>
        <w:t>JCE WHS, quality, environmental and modern slavery policies.</w:t>
      </w:r>
    </w:p>
    <w:p>
      <w:pPr>
        <w:pStyle w:val="ListBullet"/>
        <w:spacing w:after="40"/>
      </w:pPr>
      <w:r>
        <w:rPr>
          <w:b w:val="0"/>
          <w:i w:val="0"/>
        </w:rPr>
        <w:t>Planning partner, cost planner and Sunny Lotay CVs [TBC - Jayden].</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555555"/>
        <w:sz w:val="15"/>
      </w:rPr>
      <w:t>JCE Infrastructure  ·  Response to RFQ2026_93 (MWRCCMS001497) Mid-Western Development Contributions Plan 2027  ·  Revision H  ·  12/10/2026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i w:val="0"/>
        <w:color w:val="000000"/>
        <w:sz w:val="22"/>
      </w:rPr>
      <w:t>JCE Infrastructure Pty Ltd</w:t>
    </w:r>
    <w:r>
      <w:rPr>
        <w:b w:val="0"/>
        <w:i w:val="0"/>
        <w:color w:val="C9A227"/>
        <w:sz w:val="16"/>
      </w:rPr>
      <w:t xml:space="preserve">    Civil  ·  Hydraulics  ·  Infrastructure Engineering</w:t>
    </w:r>
  </w:p>
  <w:p>
    <w:pPr>
      <w:pBdr>
        <w:bottom w:val="single" w:sz="12" w:space="1" w:color="C9A227"/>
      </w:pBdr>
    </w:pPr>
    <w:r>
      <w:rPr>
        <w:b w:val="0"/>
        <w:i w:val="0"/>
        <w:color w:val="555555"/>
        <w:sz w:val="16"/>
      </w:rPr>
      <w:t>ABN 29 699 165 663  ·  0477 207 027  ·  jayden@jceinfrastructure.com.au  ·  jceinfrastructure.com.au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