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color w:val="000000"/>
          <w:sz w:val="32"/>
        </w:rPr>
        <w:t>JCE Infrastructure Pty Ltd</w:t>
      </w:r>
    </w:p>
    <w:p>
      <w:pPr>
        <w:spacing w:after="0"/>
      </w:pPr>
      <w:r>
        <w:rPr>
          <w:b/>
          <w:color w:val="C9A227"/>
          <w:sz w:val="18"/>
        </w:rPr>
        <w:t>Civil and Hydraulic Engineering</w:t>
      </w:r>
    </w:p>
    <w:p>
      <w:pPr>
        <w:pBdr>
          <w:bottom w:val="single" w:sz="12" w:space="1" w:color="C9A227"/>
        </w:pBdr>
        <w:spacing w:after="200"/>
      </w:pPr>
      <w:r>
        <w:rPr>
          <w:color w:val="555555"/>
          <w:sz w:val="17"/>
        </w:rPr>
        <w:t>ABN 29 699 165 663   |   0477 207 027   |   jayden@jceinfrastructure.com.au   |   jceinfrastructure.com.au</w:t>
      </w:r>
    </w:p>
    <w:p>
      <w:pPr>
        <w:spacing w:after="40"/>
      </w:pPr>
      <w:r>
        <w:rPr>
          <w:b/>
          <w:color w:val="C9A227"/>
          <w:sz w:val="30"/>
        </w:rPr>
        <w:t>FEE PROPOSAL</w:t>
      </w:r>
    </w:p>
    <w:p>
      <w:pPr>
        <w:spacing w:after="160"/>
      </w:pPr>
      <w:r>
        <w:rPr>
          <w:b/>
          <w:sz w:val="21"/>
        </w:rPr>
        <w:t>Response to RFT 2026.013, Concept Design for Hawthorn Road, Mount Barker District Council</w:t>
      </w:r>
    </w:p>
    <w:tbl>
      <w:tblPr>
        <w:tblStyle w:val="TableGrid"/>
        <w:tblW w:type="auto" w:w="0"/>
        <w:tblLayout w:type="fixed"/>
        <w:tblLook w:firstColumn="1" w:firstRow="1" w:lastColumn="0" w:lastRow="0" w:noHBand="0" w:noVBand="1" w:val="04A0"/>
      </w:tblPr>
      <w:tblGrid>
        <w:gridCol w:w="2268"/>
        <w:gridCol w:w="7371"/>
      </w:tblGrid>
      <w:tr>
        <w:trPr>
          <w:cantSplit/>
        </w:trPr>
        <w:tc>
          <w:tcPr>
            <w:tcW w:type="dxa" w:w="2268"/>
            <w:shd w:val="clear" w:color="auto" w:fill="F3E9C6"/>
          </w:tcPr>
          <w:p>
            <w:r/>
            <w:r>
              <w:rPr>
                <w:b/>
                <w:sz w:val="18"/>
              </w:rPr>
              <w:t>Proposal No</w:t>
            </w:r>
          </w:p>
        </w:tc>
        <w:tc>
          <w:tcPr>
            <w:tcW w:type="dxa" w:w="7370"/>
          </w:tcPr>
          <w:p>
            <w:r/>
            <w:r>
              <w:rPr>
                <w:b w:val="0"/>
                <w:i w:val="0"/>
                <w:sz w:val="18"/>
              </w:rPr>
              <w:t>FP-[TBC - Jayden] (VendorPanel VP523438)</w:t>
            </w:r>
          </w:p>
        </w:tc>
      </w:tr>
      <w:tr>
        <w:trPr>
          <w:cantSplit/>
        </w:trPr>
        <w:tc>
          <w:tcPr>
            <w:tcW w:type="dxa" w:w="2268"/>
            <w:shd w:val="clear" w:color="auto" w:fill="F3E9C6"/>
          </w:tcPr>
          <w:p>
            <w:r/>
            <w:r>
              <w:rPr>
                <w:b/>
                <w:sz w:val="18"/>
              </w:rPr>
              <w:t>Client</w:t>
            </w:r>
          </w:p>
        </w:tc>
        <w:tc>
          <w:tcPr>
            <w:tcW w:type="dxa" w:w="7370"/>
          </w:tcPr>
          <w:p>
            <w:r/>
            <w:r>
              <w:rPr>
                <w:b w:val="0"/>
                <w:i w:val="0"/>
                <w:sz w:val="18"/>
              </w:rPr>
              <w:t>Mount Barker District Council, 6 Dutton Road, Mount Barker SA 5251</w:t>
            </w:r>
          </w:p>
        </w:tc>
      </w:tr>
      <w:tr>
        <w:trPr>
          <w:cantSplit/>
        </w:trPr>
        <w:tc>
          <w:tcPr>
            <w:tcW w:type="dxa" w:w="2268"/>
            <w:shd w:val="clear" w:color="auto" w:fill="F3E9C6"/>
          </w:tcPr>
          <w:p>
            <w:r/>
            <w:r>
              <w:rPr>
                <w:b/>
                <w:sz w:val="18"/>
              </w:rPr>
              <w:t>Attention</w:t>
            </w:r>
          </w:p>
        </w:tc>
        <w:tc>
          <w:tcPr>
            <w:tcW w:type="dxa" w:w="7370"/>
          </w:tcPr>
          <w:p>
            <w:r/>
            <w:r>
              <w:rPr>
                <w:b w:val="0"/>
                <w:i w:val="0"/>
                <w:sz w:val="18"/>
              </w:rPr>
              <w:t>Procurement, via VendorPanel</w:t>
            </w:r>
          </w:p>
        </w:tc>
      </w:tr>
      <w:tr>
        <w:trPr>
          <w:cantSplit/>
        </w:trPr>
        <w:tc>
          <w:tcPr>
            <w:tcW w:type="dxa" w:w="2268"/>
            <w:shd w:val="clear" w:color="auto" w:fill="F3E9C6"/>
          </w:tcPr>
          <w:p>
            <w:r/>
            <w:r>
              <w:rPr>
                <w:b/>
                <w:sz w:val="18"/>
              </w:rPr>
              <w:t>Project</w:t>
            </w:r>
          </w:p>
        </w:tc>
        <w:tc>
          <w:tcPr>
            <w:tcW w:type="dxa" w:w="7370"/>
          </w:tcPr>
          <w:p>
            <w:r/>
            <w:r>
              <w:rPr>
                <w:b w:val="0"/>
                <w:i w:val="0"/>
                <w:sz w:val="18"/>
              </w:rPr>
              <w:t>RFT 2026.013 Concept Design for Hawthorn Road: Separable Portion 1 (30% concept design), with PC Sums for Separable Portions 2 and 3</w:t>
            </w:r>
          </w:p>
        </w:tc>
      </w:tr>
      <w:tr>
        <w:trPr>
          <w:cantSplit/>
        </w:trPr>
        <w:tc>
          <w:tcPr>
            <w:tcW w:type="dxa" w:w="2268"/>
            <w:shd w:val="clear" w:color="auto" w:fill="F3E9C6"/>
          </w:tcPr>
          <w:p>
            <w:r/>
            <w:r>
              <w:rPr>
                <w:b/>
                <w:sz w:val="18"/>
              </w:rPr>
              <w:t>Site</w:t>
            </w:r>
          </w:p>
        </w:tc>
        <w:tc>
          <w:tcPr>
            <w:tcW w:type="dxa" w:w="7370"/>
          </w:tcPr>
          <w:p>
            <w:r/>
            <w:r>
              <w:rPr>
                <w:b w:val="0"/>
                <w:i w:val="0"/>
                <w:sz w:val="18"/>
              </w:rPr>
              <w:t>Hawthorn Road, Adelaide Road to Liebelt Summer Track, Mount Barker SA 5251</w:t>
            </w:r>
          </w:p>
        </w:tc>
      </w:tr>
      <w:tr>
        <w:trPr>
          <w:cantSplit/>
        </w:trPr>
        <w:tc>
          <w:tcPr>
            <w:tcW w:type="dxa" w:w="2268"/>
            <w:shd w:val="clear" w:color="auto" w:fill="F3E9C6"/>
          </w:tcPr>
          <w:p>
            <w:r/>
            <w:r>
              <w:rPr>
                <w:b/>
                <w:sz w:val="18"/>
              </w:rPr>
              <w:t>Date / Revision</w:t>
            </w:r>
          </w:p>
        </w:tc>
        <w:tc>
          <w:tcPr>
            <w:tcW w:type="dxa" w:w="7370"/>
          </w:tcPr>
          <w:p>
            <w:r/>
            <w:r>
              <w:rPr>
                <w:b w:val="0"/>
                <w:i w:val="0"/>
                <w:sz w:val="18"/>
              </w:rPr>
              <w:t>12/10/2026 / Revision G (final for signature)</w:t>
            </w:r>
          </w:p>
        </w:tc>
      </w:tr>
      <w:tr>
        <w:trPr>
          <w:cantSplit/>
        </w:trPr>
        <w:tc>
          <w:tcPr>
            <w:tcW w:type="dxa" w:w="2268"/>
            <w:shd w:val="clear" w:color="auto" w:fill="F3E9C6"/>
          </w:tcPr>
          <w:p>
            <w:r/>
            <w:r>
              <w:rPr>
                <w:b/>
                <w:sz w:val="18"/>
              </w:rPr>
              <w:t>Prepared by</w:t>
            </w:r>
          </w:p>
        </w:tc>
        <w:tc>
          <w:tcPr>
            <w:tcW w:type="dxa" w:w="7370"/>
          </w:tcPr>
          <w:p>
            <w:r/>
            <w:r>
              <w:rPr>
                <w:b w:val="0"/>
                <w:i w:val="0"/>
                <w:sz w:val="18"/>
              </w:rPr>
              <w:t>Jayden Callen, Director</w:t>
            </w:r>
          </w:p>
        </w:tc>
      </w:tr>
      <w:tr>
        <w:trPr>
          <w:cantSplit/>
        </w:trPr>
        <w:tc>
          <w:tcPr>
            <w:tcW w:type="dxa" w:w="2268"/>
            <w:shd w:val="clear" w:color="auto" w:fill="F3E9C6"/>
          </w:tcPr>
          <w:p>
            <w:r/>
            <w:r>
              <w:rPr>
                <w:b/>
                <w:sz w:val="18"/>
              </w:rPr>
              <w:t>Offer</w:t>
            </w:r>
          </w:p>
        </w:tc>
        <w:tc>
          <w:tcPr>
            <w:tcW w:type="dxa" w:w="7370"/>
          </w:tcPr>
          <w:p>
            <w:r/>
            <w:r>
              <w:rPr>
                <w:b w:val="0"/>
                <w:i w:val="0"/>
                <w:sz w:val="18"/>
              </w:rPr>
              <w:t>Lump sum $258,460 excl. GST ($284,306 incl. GST) for Separable Portion 1; PC Sums $339,400 excl. GST for Separable Portions 2 and 3</w:t>
            </w:r>
          </w:p>
        </w:tc>
      </w:tr>
    </w:tbl>
    <w:p>
      <w:pPr>
        <w:spacing w:after="40"/>
      </w:pPr>
    </w:p>
    <w:p>
      <w:r>
        <w:rPr>
          <w:b w:val="0"/>
          <w:i w:val="0"/>
        </w:rPr>
        <w:t>Dear Procurement Team,</w:t>
      </w:r>
    </w:p>
    <w:p>
      <w:r>
        <w:rPr>
          <w:b w:val="0"/>
          <w:i w:val="0"/>
        </w:rPr>
        <w:t>JCE Infrastructure Pty Ltd (JCE) offers to deliver the 30% concept design and cost estimate for the Hawthorn Road upgrade (RFT 2026.013). The commission will be led personally by our Director, Jayden Callen, BEng (Civil)(Hons), MIEAust, who will be Council's single point of contact from award to the final concept on 18/06/2027. Jayden's recent roles have been civil design management: running a team of civil designers and bringing flood, electrical, hydraulic and other specialists into one design package to one program. On Hawthorn Road he will manage the surveyor, geotechnical engineer, traffic engineer and road safety auditor, arborist and lighting designer to Council's hold points, with every deliverable reviewed by JCE before it reaches Council.</w:t>
      </w:r>
    </w:p>
    <w:p>
      <w:r>
        <w:rPr>
          <w:b w:val="0"/>
          <w:i w:val="0"/>
        </w:rPr>
        <w:t>Jayden has also worked for a regional council in Far North Queensland, where he shortlisted consultants for a council RFT. He knows what an evaluation panel looks for and what a council officer needs after award: clear hold points, no surprises on scope or fee, and records Council can audit.</w:t>
      </w:r>
    </w:p>
    <w:p>
      <w:r>
        <w:rPr>
          <w:b w:val="0"/>
          <w:i w:val="0"/>
        </w:rPr>
        <w:t>JCE confirms it can meet Council's program in Brief Table 1. Our lump sum is $258,460 excluding GST, and the PC Sums for the later design stages total $339,400 excluding GST. The items in Brief section 9 are answered as follows:</w:t>
      </w:r>
    </w:p>
    <w:tbl>
      <w:tblPr>
        <w:tblStyle w:val="TableGrid"/>
        <w:tblW w:type="auto" w:w="0"/>
        <w:jc w:val="center"/>
        <w:tblLayout w:type="fixed"/>
        <w:tblLook w:firstColumn="1" w:firstRow="1" w:lastColumn="0" w:lastRow="0" w:noHBand="0" w:noVBand="1" w:val="04A0"/>
      </w:tblPr>
      <w:tblGrid>
        <w:gridCol w:w="907"/>
        <w:gridCol w:w="5443"/>
        <w:gridCol w:w="3288"/>
      </w:tblGrid>
      <w:tr>
        <w:trPr>
          <w:tblHeader/>
          <w:cantSplit/>
        </w:trPr>
        <w:tc>
          <w:tcPr>
            <w:tcW w:type="dxa" w:w="907"/>
            <w:shd w:val="clear" w:color="auto" w:fill="1A1A1A"/>
          </w:tcPr>
          <w:p>
            <w:r/>
            <w:r>
              <w:rPr>
                <w:b/>
                <w:color w:val="FFFFFF"/>
                <w:sz w:val="18"/>
              </w:rPr>
              <w:t>Brief 9</w:t>
            </w:r>
          </w:p>
        </w:tc>
        <w:tc>
          <w:tcPr>
            <w:tcW w:type="dxa" w:w="5443"/>
            <w:shd w:val="clear" w:color="auto" w:fill="1A1A1A"/>
          </w:tcPr>
          <w:p>
            <w:r/>
            <w:r>
              <w:rPr>
                <w:b/>
                <w:color w:val="FFFFFF"/>
                <w:sz w:val="18"/>
              </w:rPr>
              <w:t>Requirement</w:t>
            </w:r>
          </w:p>
        </w:tc>
        <w:tc>
          <w:tcPr>
            <w:tcW w:type="dxa" w:w="3288"/>
            <w:shd w:val="clear" w:color="auto" w:fill="1A1A1A"/>
          </w:tcPr>
          <w:p>
            <w:r/>
            <w:r>
              <w:rPr>
                <w:b/>
                <w:color w:val="FFFFFF"/>
                <w:sz w:val="18"/>
              </w:rPr>
              <w:t>Where answered</w:t>
            </w:r>
          </w:p>
        </w:tc>
      </w:tr>
      <w:tr>
        <w:trPr>
          <w:cantSplit/>
        </w:trPr>
        <w:tc>
          <w:tcPr>
            <w:tcW w:type="dxa" w:w="907"/>
          </w:tcPr>
          <w:p>
            <w:pPr>
              <w:spacing w:after="20"/>
            </w:pPr>
            <w:r/>
            <w:r>
              <w:rPr>
                <w:b w:val="0"/>
                <w:i w:val="0"/>
                <w:sz w:val="18"/>
              </w:rPr>
              <w:t>a)</w:t>
            </w:r>
          </w:p>
        </w:tc>
        <w:tc>
          <w:tcPr>
            <w:tcW w:type="dxa" w:w="5443"/>
          </w:tcPr>
          <w:p>
            <w:pPr>
              <w:spacing w:after="20"/>
            </w:pPr>
            <w:r/>
            <w:r>
              <w:rPr>
                <w:b w:val="0"/>
                <w:i w:val="0"/>
                <w:sz w:val="18"/>
              </w:rPr>
              <w:t>Statement of appreciation of the project</w:t>
            </w:r>
          </w:p>
        </w:tc>
        <w:tc>
          <w:tcPr>
            <w:tcW w:type="dxa" w:w="3288"/>
          </w:tcPr>
          <w:p>
            <w:pPr>
              <w:spacing w:after="20"/>
            </w:pPr>
            <w:r/>
            <w:r>
              <w:rPr>
                <w:b w:val="0"/>
                <w:i w:val="0"/>
                <w:sz w:val="18"/>
              </w:rPr>
              <w:t>Section 1.0</w:t>
            </w:r>
          </w:p>
        </w:tc>
      </w:tr>
      <w:tr>
        <w:trPr>
          <w:cantSplit/>
        </w:trPr>
        <w:tc>
          <w:tcPr>
            <w:tcW w:type="dxa" w:w="907"/>
          </w:tcPr>
          <w:p>
            <w:pPr>
              <w:spacing w:after="20"/>
            </w:pPr>
            <w:r/>
            <w:r>
              <w:rPr>
                <w:b w:val="0"/>
                <w:i w:val="0"/>
                <w:sz w:val="18"/>
              </w:rPr>
              <w:t>b)</w:t>
            </w:r>
          </w:p>
        </w:tc>
        <w:tc>
          <w:tcPr>
            <w:tcW w:type="dxa" w:w="5443"/>
          </w:tcPr>
          <w:p>
            <w:pPr>
              <w:spacing w:after="20"/>
            </w:pPr>
            <w:r/>
            <w:r>
              <w:rPr>
                <w:b w:val="0"/>
                <w:i w:val="0"/>
                <w:sz w:val="18"/>
              </w:rPr>
              <w:t>Proposed methodology</w:t>
            </w:r>
          </w:p>
        </w:tc>
        <w:tc>
          <w:tcPr>
            <w:tcW w:type="dxa" w:w="3288"/>
          </w:tcPr>
          <w:p>
            <w:pPr>
              <w:spacing w:after="20"/>
            </w:pPr>
            <w:r/>
            <w:r>
              <w:rPr>
                <w:b w:val="0"/>
                <w:i w:val="0"/>
                <w:sz w:val="18"/>
              </w:rPr>
              <w:t>Sections 2.0 and 3.0</w:t>
            </w:r>
          </w:p>
        </w:tc>
      </w:tr>
      <w:tr>
        <w:trPr>
          <w:cantSplit/>
        </w:trPr>
        <w:tc>
          <w:tcPr>
            <w:tcW w:type="dxa" w:w="907"/>
          </w:tcPr>
          <w:p>
            <w:pPr>
              <w:spacing w:after="20"/>
            </w:pPr>
            <w:r/>
            <w:r>
              <w:rPr>
                <w:b w:val="0"/>
                <w:i w:val="0"/>
                <w:sz w:val="18"/>
              </w:rPr>
              <w:t>c)</w:t>
            </w:r>
          </w:p>
        </w:tc>
        <w:tc>
          <w:tcPr>
            <w:tcW w:type="dxa" w:w="5443"/>
          </w:tcPr>
          <w:p>
            <w:pPr>
              <w:spacing w:after="20"/>
            </w:pPr>
            <w:r/>
            <w:r>
              <w:rPr>
                <w:b w:val="0"/>
                <w:i w:val="0"/>
                <w:sz w:val="18"/>
              </w:rPr>
              <w:t>Availability, current commitments and program</w:t>
            </w:r>
          </w:p>
        </w:tc>
        <w:tc>
          <w:tcPr>
            <w:tcW w:type="dxa" w:w="3288"/>
          </w:tcPr>
          <w:p>
            <w:pPr>
              <w:spacing w:after="20"/>
            </w:pPr>
            <w:r/>
            <w:r>
              <w:rPr>
                <w:b w:val="0"/>
                <w:i w:val="0"/>
                <w:sz w:val="18"/>
              </w:rPr>
              <w:t>Sections 4.0 and 5.3</w:t>
            </w:r>
          </w:p>
        </w:tc>
      </w:tr>
      <w:tr>
        <w:trPr>
          <w:cantSplit/>
        </w:trPr>
        <w:tc>
          <w:tcPr>
            <w:tcW w:type="dxa" w:w="907"/>
          </w:tcPr>
          <w:p>
            <w:pPr>
              <w:spacing w:after="20"/>
            </w:pPr>
            <w:r/>
            <w:r>
              <w:rPr>
                <w:b w:val="0"/>
                <w:i w:val="0"/>
                <w:sz w:val="18"/>
              </w:rPr>
              <w:t>d)</w:t>
            </w:r>
          </w:p>
        </w:tc>
        <w:tc>
          <w:tcPr>
            <w:tcW w:type="dxa" w:w="5443"/>
          </w:tcPr>
          <w:p>
            <w:pPr>
              <w:spacing w:after="20"/>
            </w:pPr>
            <w:r/>
            <w:r>
              <w:rPr>
                <w:b w:val="0"/>
                <w:i w:val="0"/>
                <w:sz w:val="18"/>
              </w:rPr>
              <w:t>Schedule of proposed sub-consultants</w:t>
            </w:r>
          </w:p>
        </w:tc>
        <w:tc>
          <w:tcPr>
            <w:tcW w:type="dxa" w:w="3288"/>
          </w:tcPr>
          <w:p>
            <w:pPr>
              <w:spacing w:after="20"/>
            </w:pPr>
            <w:r/>
            <w:r>
              <w:rPr>
                <w:b w:val="0"/>
                <w:i w:val="0"/>
                <w:sz w:val="18"/>
              </w:rPr>
              <w:t>Section 5.2</w:t>
            </w:r>
          </w:p>
        </w:tc>
      </w:tr>
      <w:tr>
        <w:trPr>
          <w:cantSplit/>
        </w:trPr>
        <w:tc>
          <w:tcPr>
            <w:tcW w:type="dxa" w:w="907"/>
          </w:tcPr>
          <w:p>
            <w:pPr>
              <w:spacing w:after="20"/>
            </w:pPr>
            <w:r/>
            <w:r>
              <w:rPr>
                <w:b w:val="0"/>
                <w:i w:val="0"/>
                <w:sz w:val="18"/>
              </w:rPr>
              <w:t>e)</w:t>
            </w:r>
          </w:p>
        </w:tc>
        <w:tc>
          <w:tcPr>
            <w:tcW w:type="dxa" w:w="5443"/>
          </w:tcPr>
          <w:p>
            <w:pPr>
              <w:spacing w:after="20"/>
            </w:pPr>
            <w:r/>
            <w:r>
              <w:rPr>
                <w:b w:val="0"/>
                <w:i w:val="0"/>
                <w:sz w:val="18"/>
              </w:rPr>
              <w:t>CVs of key staff</w:t>
            </w:r>
          </w:p>
        </w:tc>
        <w:tc>
          <w:tcPr>
            <w:tcW w:type="dxa" w:w="3288"/>
          </w:tcPr>
          <w:p>
            <w:pPr>
              <w:spacing w:after="20"/>
            </w:pPr>
            <w:r/>
            <w:r>
              <w:rPr>
                <w:b w:val="0"/>
                <w:i w:val="0"/>
                <w:sz w:val="18"/>
              </w:rPr>
              <w:t>Section 5.1 and Attachment B</w:t>
            </w:r>
          </w:p>
        </w:tc>
      </w:tr>
      <w:tr>
        <w:trPr>
          <w:cantSplit/>
        </w:trPr>
        <w:tc>
          <w:tcPr>
            <w:tcW w:type="dxa" w:w="907"/>
          </w:tcPr>
          <w:p>
            <w:pPr>
              <w:spacing w:after="20"/>
            </w:pPr>
            <w:r/>
            <w:r>
              <w:rPr>
                <w:b w:val="0"/>
                <w:i w:val="0"/>
                <w:sz w:val="18"/>
              </w:rPr>
              <w:t>f)</w:t>
            </w:r>
          </w:p>
        </w:tc>
        <w:tc>
          <w:tcPr>
            <w:tcW w:type="dxa" w:w="5443"/>
          </w:tcPr>
          <w:p>
            <w:pPr>
              <w:spacing w:after="20"/>
            </w:pPr>
            <w:r/>
            <w:r>
              <w:rPr>
                <w:b w:val="0"/>
                <w:i w:val="0"/>
                <w:sz w:val="18"/>
              </w:rPr>
              <w:t>Lump sum fee with breakdown by component, and schedule of rates</w:t>
            </w:r>
          </w:p>
        </w:tc>
        <w:tc>
          <w:tcPr>
            <w:tcW w:type="dxa" w:w="3288"/>
          </w:tcPr>
          <w:p>
            <w:pPr>
              <w:spacing w:after="20"/>
            </w:pPr>
            <w:r/>
            <w:r>
              <w:rPr>
                <w:b w:val="0"/>
                <w:i w:val="0"/>
                <w:sz w:val="18"/>
              </w:rPr>
              <w:t>Sections 8.1, 8.2 and Attachment A</w:t>
            </w:r>
          </w:p>
        </w:tc>
      </w:tr>
      <w:tr>
        <w:trPr>
          <w:cantSplit/>
        </w:trPr>
        <w:tc>
          <w:tcPr>
            <w:tcW w:type="dxa" w:w="907"/>
          </w:tcPr>
          <w:p>
            <w:pPr>
              <w:spacing w:after="20"/>
            </w:pPr>
            <w:r/>
            <w:r>
              <w:rPr>
                <w:b w:val="0"/>
                <w:i w:val="0"/>
                <w:sz w:val="18"/>
              </w:rPr>
              <w:t>g)</w:t>
            </w:r>
          </w:p>
        </w:tc>
        <w:tc>
          <w:tcPr>
            <w:tcW w:type="dxa" w:w="5443"/>
          </w:tcPr>
          <w:p>
            <w:pPr>
              <w:spacing w:after="20"/>
            </w:pPr>
            <w:r/>
            <w:r>
              <w:rPr>
                <w:b w:val="0"/>
                <w:i w:val="0"/>
                <w:sz w:val="18"/>
              </w:rPr>
              <w:t>PC Sums for 70% detailed design and 100% IFC</w:t>
            </w:r>
          </w:p>
        </w:tc>
        <w:tc>
          <w:tcPr>
            <w:tcW w:type="dxa" w:w="3288"/>
          </w:tcPr>
          <w:p>
            <w:pPr>
              <w:spacing w:after="20"/>
            </w:pPr>
            <w:r/>
            <w:r>
              <w:rPr>
                <w:b w:val="0"/>
                <w:i w:val="0"/>
                <w:sz w:val="18"/>
              </w:rPr>
              <w:t>Section 8.4</w:t>
            </w:r>
          </w:p>
        </w:tc>
      </w:tr>
      <w:tr>
        <w:trPr>
          <w:cantSplit/>
        </w:trPr>
        <w:tc>
          <w:tcPr>
            <w:tcW w:type="dxa" w:w="907"/>
          </w:tcPr>
          <w:p>
            <w:pPr>
              <w:spacing w:after="20"/>
            </w:pPr>
            <w:r/>
            <w:r>
              <w:rPr>
                <w:b w:val="0"/>
                <w:i w:val="0"/>
                <w:sz w:val="18"/>
              </w:rPr>
              <w:t>h)</w:t>
            </w:r>
          </w:p>
        </w:tc>
        <w:tc>
          <w:tcPr>
            <w:tcW w:type="dxa" w:w="5443"/>
          </w:tcPr>
          <w:p>
            <w:pPr>
              <w:spacing w:after="20"/>
            </w:pPr>
            <w:r/>
            <w:r>
              <w:rPr>
                <w:b w:val="0"/>
                <w:i w:val="0"/>
                <w:sz w:val="18"/>
              </w:rPr>
              <w:t>Breakdown of costs for each person and task</w:t>
            </w:r>
          </w:p>
        </w:tc>
        <w:tc>
          <w:tcPr>
            <w:tcW w:type="dxa" w:w="3288"/>
          </w:tcPr>
          <w:p>
            <w:pPr>
              <w:spacing w:after="20"/>
            </w:pPr>
            <w:r/>
            <w:r>
              <w:rPr>
                <w:b w:val="0"/>
                <w:i w:val="0"/>
                <w:sz w:val="18"/>
              </w:rPr>
              <w:t>Section 8.3</w:t>
            </w:r>
          </w:p>
        </w:tc>
      </w:tr>
      <w:tr>
        <w:trPr>
          <w:cantSplit/>
        </w:trPr>
        <w:tc>
          <w:tcPr>
            <w:tcW w:type="dxa" w:w="907"/>
          </w:tcPr>
          <w:p>
            <w:pPr>
              <w:spacing w:after="20"/>
            </w:pPr>
            <w:r/>
            <w:r>
              <w:rPr>
                <w:b w:val="0"/>
                <w:i w:val="0"/>
                <w:sz w:val="18"/>
              </w:rPr>
              <w:t>i)</w:t>
            </w:r>
          </w:p>
        </w:tc>
        <w:tc>
          <w:tcPr>
            <w:tcW w:type="dxa" w:w="5443"/>
          </w:tcPr>
          <w:p>
            <w:pPr>
              <w:spacing w:after="20"/>
            </w:pPr>
            <w:r/>
            <w:r>
              <w:rPr>
                <w:b w:val="0"/>
                <w:i w:val="0"/>
                <w:sz w:val="18"/>
              </w:rPr>
              <w:t>Anticipated disbursements</w:t>
            </w:r>
          </w:p>
        </w:tc>
        <w:tc>
          <w:tcPr>
            <w:tcW w:type="dxa" w:w="3288"/>
          </w:tcPr>
          <w:p>
            <w:pPr>
              <w:spacing w:after="20"/>
            </w:pPr>
            <w:r/>
            <w:r>
              <w:rPr>
                <w:b w:val="0"/>
                <w:i w:val="0"/>
                <w:sz w:val="18"/>
              </w:rPr>
              <w:t>Section 8.3</w:t>
            </w:r>
          </w:p>
        </w:tc>
      </w:tr>
      <w:tr>
        <w:trPr>
          <w:cantSplit/>
        </w:trPr>
        <w:tc>
          <w:tcPr>
            <w:tcW w:type="dxa" w:w="907"/>
          </w:tcPr>
          <w:p>
            <w:pPr>
              <w:spacing w:after="20"/>
            </w:pPr>
            <w:r/>
            <w:r>
              <w:rPr>
                <w:b w:val="0"/>
                <w:i w:val="0"/>
                <w:sz w:val="18"/>
              </w:rPr>
              <w:t>j)</w:t>
            </w:r>
          </w:p>
        </w:tc>
        <w:tc>
          <w:tcPr>
            <w:tcW w:type="dxa" w:w="5443"/>
          </w:tcPr>
          <w:p>
            <w:pPr>
              <w:spacing w:after="20"/>
            </w:pPr>
            <w:r/>
            <w:r>
              <w:rPr>
                <w:b w:val="0"/>
                <w:i w:val="0"/>
                <w:sz w:val="18"/>
              </w:rPr>
              <w:t>Resources expected from Council</w:t>
            </w:r>
          </w:p>
        </w:tc>
        <w:tc>
          <w:tcPr>
            <w:tcW w:type="dxa" w:w="3288"/>
          </w:tcPr>
          <w:p>
            <w:pPr>
              <w:spacing w:after="20"/>
            </w:pPr>
            <w:r/>
            <w:r>
              <w:rPr>
                <w:b w:val="0"/>
                <w:i w:val="0"/>
                <w:sz w:val="18"/>
              </w:rPr>
              <w:t>Section 6.0</w:t>
            </w:r>
          </w:p>
        </w:tc>
      </w:tr>
      <w:tr>
        <w:trPr>
          <w:cantSplit/>
        </w:trPr>
        <w:tc>
          <w:tcPr>
            <w:tcW w:type="dxa" w:w="907"/>
          </w:tcPr>
          <w:p>
            <w:pPr>
              <w:spacing w:after="20"/>
            </w:pPr>
            <w:r/>
            <w:r>
              <w:rPr>
                <w:b w:val="0"/>
                <w:i w:val="0"/>
                <w:sz w:val="18"/>
              </w:rPr>
              <w:t>k)</w:t>
            </w:r>
          </w:p>
        </w:tc>
        <w:tc>
          <w:tcPr>
            <w:tcW w:type="dxa" w:w="5443"/>
          </w:tcPr>
          <w:p>
            <w:pPr>
              <w:spacing w:after="20"/>
            </w:pPr>
            <w:r/>
            <w:r>
              <w:rPr>
                <w:b w:val="0"/>
                <w:i w:val="0"/>
                <w:sz w:val="18"/>
              </w:rPr>
              <w:t>Evidence of similar experience, with client contacts</w:t>
            </w:r>
          </w:p>
        </w:tc>
        <w:tc>
          <w:tcPr>
            <w:tcW w:type="dxa" w:w="3288"/>
          </w:tcPr>
          <w:p>
            <w:pPr>
              <w:spacing w:after="20"/>
            </w:pPr>
            <w:r/>
            <w:r>
              <w:rPr>
                <w:b w:val="0"/>
                <w:i w:val="0"/>
                <w:sz w:val="18"/>
              </w:rPr>
              <w:t>Section 5.4</w:t>
            </w:r>
          </w:p>
        </w:tc>
      </w:tr>
      <w:tr>
        <w:trPr>
          <w:cantSplit/>
        </w:trPr>
        <w:tc>
          <w:tcPr>
            <w:tcW w:type="dxa" w:w="907"/>
          </w:tcPr>
          <w:p>
            <w:pPr>
              <w:spacing w:after="20"/>
            </w:pPr>
            <w:r/>
            <w:r>
              <w:rPr>
                <w:b w:val="0"/>
                <w:i w:val="0"/>
                <w:sz w:val="18"/>
              </w:rPr>
              <w:t>l)</w:t>
            </w:r>
          </w:p>
        </w:tc>
        <w:tc>
          <w:tcPr>
            <w:tcW w:type="dxa" w:w="5443"/>
          </w:tcPr>
          <w:p>
            <w:pPr>
              <w:spacing w:after="20"/>
            </w:pPr>
            <w:r/>
            <w:r>
              <w:rPr>
                <w:b w:val="0"/>
                <w:i w:val="0"/>
                <w:sz w:val="18"/>
              </w:rPr>
              <w:t>Conflict of interest declaration</w:t>
            </w:r>
          </w:p>
        </w:tc>
        <w:tc>
          <w:tcPr>
            <w:tcW w:type="dxa" w:w="3288"/>
          </w:tcPr>
          <w:p>
            <w:pPr>
              <w:spacing w:after="20"/>
            </w:pPr>
            <w:r/>
            <w:r>
              <w:rPr>
                <w:b w:val="0"/>
                <w:i w:val="0"/>
                <w:sz w:val="18"/>
              </w:rPr>
              <w:t>Section 10.0</w:t>
            </w:r>
          </w:p>
        </w:tc>
      </w:tr>
      <w:tr>
        <w:trPr>
          <w:cantSplit/>
        </w:trPr>
        <w:tc>
          <w:tcPr>
            <w:tcW w:type="dxa" w:w="907"/>
          </w:tcPr>
          <w:p>
            <w:pPr>
              <w:spacing w:after="20"/>
            </w:pPr>
            <w:r/>
            <w:r>
              <w:rPr>
                <w:b w:val="0"/>
                <w:i w:val="0"/>
                <w:sz w:val="18"/>
              </w:rPr>
              <w:t>m)</w:t>
            </w:r>
          </w:p>
        </w:tc>
        <w:tc>
          <w:tcPr>
            <w:tcW w:type="dxa" w:w="5443"/>
          </w:tcPr>
          <w:p>
            <w:pPr>
              <w:spacing w:after="20"/>
            </w:pPr>
            <w:r/>
            <w:r>
              <w:rPr>
                <w:b w:val="0"/>
                <w:i w:val="0"/>
                <w:sz w:val="18"/>
              </w:rPr>
              <w:t>Evidence of insurance</w:t>
            </w:r>
          </w:p>
        </w:tc>
        <w:tc>
          <w:tcPr>
            <w:tcW w:type="dxa" w:w="3288"/>
          </w:tcPr>
          <w:p>
            <w:pPr>
              <w:spacing w:after="20"/>
            </w:pPr>
            <w:r/>
            <w:r>
              <w:rPr>
                <w:b w:val="0"/>
                <w:i w:val="0"/>
                <w:sz w:val="18"/>
              </w:rPr>
              <w:t>Section 11.0 and Attachment C</w:t>
            </w:r>
          </w:p>
        </w:tc>
      </w:tr>
      <w:tr>
        <w:trPr>
          <w:cantSplit/>
        </w:trPr>
        <w:tc>
          <w:tcPr>
            <w:tcW w:type="dxa" w:w="907"/>
          </w:tcPr>
          <w:p>
            <w:pPr>
              <w:spacing w:after="20"/>
            </w:pPr>
            <w:r/>
            <w:r>
              <w:rPr>
                <w:b w:val="0"/>
                <w:i w:val="0"/>
                <w:sz w:val="18"/>
              </w:rPr>
              <w:t>n)</w:t>
            </w:r>
          </w:p>
        </w:tc>
        <w:tc>
          <w:tcPr>
            <w:tcW w:type="dxa" w:w="5443"/>
          </w:tcPr>
          <w:p>
            <w:pPr>
              <w:spacing w:after="20"/>
            </w:pPr>
            <w:r/>
            <w:r>
              <w:rPr>
                <w:b w:val="0"/>
                <w:i w:val="0"/>
                <w:sz w:val="18"/>
              </w:rPr>
              <w:t>Acceptance of the Services Agreement or amendments requested</w:t>
            </w:r>
          </w:p>
        </w:tc>
        <w:tc>
          <w:tcPr>
            <w:tcW w:type="dxa" w:w="3288"/>
          </w:tcPr>
          <w:p>
            <w:pPr>
              <w:spacing w:after="20"/>
            </w:pPr>
            <w:r/>
            <w:r>
              <w:rPr>
                <w:b w:val="0"/>
                <w:i w:val="0"/>
                <w:sz w:val="18"/>
              </w:rPr>
              <w:t>Section 12.0</w:t>
            </w:r>
          </w:p>
        </w:tc>
      </w:tr>
    </w:tbl>
    <w:p>
      <w:pPr>
        <w:spacing w:after="40"/>
      </w:pPr>
    </w:p>
    <w:p>
      <w:pPr>
        <w:pStyle w:val="Heading1"/>
      </w:pPr>
      <w:r>
        <w:t>1.0   Project understanding</w:t>
      </w:r>
    </w:p>
    <w:p>
      <w:r>
        <w:rPr>
          <w:b w:val="0"/>
          <w:i w:val="0"/>
        </w:rPr>
        <w:t>Hawthorn Road runs from the Adelaide Road intersection in Mount Barker past Canberra Street, the Southern Cross Care retirement village, Silverwood Drive and Bollen Road, then past the 147 Hawthorn Road link road and a future roundabout to Liebelt Summer Track: about 3 km of road in the eight sections shown in Brief Figures 1 to 8. The road has narrow lanes, failing pavement, steep and uneven verges, no street lighting, stobie poles close to the carriageway and little provision for people walking or cycling. Development at #16, #73, #78, #147, #160 and #239 Hawthorn Road, and DIT's upgrade of the Adelaide Road intersection, will make it a key collector or sub-arterial road.</w:t>
      </w:r>
    </w:p>
    <w:p>
      <w:r>
        <w:rPr>
          <w:b w:val="0"/>
          <w:i w:val="0"/>
        </w:rPr>
        <w:t>Council's objective for Separable Portion 1 is a 30% concept that defines and documents the preferred upgrade. It has to balance road safety, traffic operation, active transport, stormwater and flooding, services, trees and remnant vegetation, land requirements, constructability and whole-of-life cost, and give Council a cost estimate, land acquisition plan and staging plan it can use for budgeting, land negotiations and detailed design.</w:t>
      </w:r>
    </w:p>
    <w:p>
      <w:pPr>
        <w:pStyle w:val="Heading2"/>
      </w:pPr>
      <w:r>
        <w:t>What the design must resolve</w:t>
      </w:r>
    </w:p>
    <w:tbl>
      <w:tblPr>
        <w:tblStyle w:val="TableGrid"/>
        <w:tblW w:type="auto" w:w="0"/>
        <w:jc w:val="center"/>
        <w:tblLayout w:type="fixed"/>
        <w:tblLook w:firstColumn="1" w:firstRow="1" w:lastColumn="0" w:lastRow="0" w:noHBand="0" w:noVBand="1" w:val="04A0"/>
      </w:tblPr>
      <w:tblGrid>
        <w:gridCol w:w="2551"/>
        <w:gridCol w:w="7087"/>
      </w:tblGrid>
      <w:tr>
        <w:trPr>
          <w:tblHeader/>
          <w:cantSplit/>
        </w:trPr>
        <w:tc>
          <w:tcPr>
            <w:tcW w:type="dxa" w:w="2551"/>
            <w:shd w:val="clear" w:color="auto" w:fill="1A1A1A"/>
          </w:tcPr>
          <w:p>
            <w:pPr>
              <w:keepNext/>
            </w:pPr>
            <w:r/>
            <w:r>
              <w:rPr>
                <w:b/>
                <w:color w:val="FFFFFF"/>
                <w:sz w:val="18"/>
              </w:rPr>
              <w:t>Issue</w:t>
            </w:r>
          </w:p>
        </w:tc>
        <w:tc>
          <w:tcPr>
            <w:tcW w:type="dxa" w:w="7087"/>
            <w:shd w:val="clear" w:color="auto" w:fill="1A1A1A"/>
          </w:tcPr>
          <w:p>
            <w:pPr>
              <w:keepNext/>
            </w:pPr>
            <w:r/>
            <w:r>
              <w:rPr>
                <w:b/>
                <w:color w:val="FFFFFF"/>
                <w:sz w:val="18"/>
              </w:rPr>
              <w:t>JCE response</w:t>
            </w:r>
          </w:p>
        </w:tc>
      </w:tr>
      <w:tr>
        <w:trPr>
          <w:cantSplit/>
        </w:trPr>
        <w:tc>
          <w:tcPr>
            <w:tcW w:type="dxa" w:w="2551"/>
          </w:tcPr>
          <w:p>
            <w:pPr>
              <w:keepNext/>
              <w:spacing w:after="20"/>
            </w:pPr>
            <w:r/>
            <w:r>
              <w:rPr>
                <w:b w:val="0"/>
                <w:i w:val="0"/>
                <w:sz w:val="18"/>
              </w:rPr>
              <w:t>Interfaces designed by others</w:t>
            </w:r>
          </w:p>
        </w:tc>
        <w:tc>
          <w:tcPr>
            <w:tcW w:type="dxa" w:w="7087"/>
          </w:tcPr>
          <w:p>
            <w:pPr>
              <w:keepNext/>
              <w:spacing w:after="20"/>
            </w:pPr>
            <w:r/>
            <w:r>
              <w:rPr>
                <w:b w:val="0"/>
                <w:i w:val="0"/>
                <w:sz w:val="18"/>
              </w:rPr>
              <w:t>Early collection of DIT's Adelaide Road intersection design, the approved CHR at #73, the Bollen Road closure and the link road and roundabout options. Tie-in points and levels are fixed in the Concept Design Basis Report and checked again at each workshop.</w:t>
            </w:r>
          </w:p>
        </w:tc>
      </w:tr>
      <w:tr>
        <w:trPr>
          <w:cantSplit/>
        </w:trPr>
        <w:tc>
          <w:tcPr>
            <w:tcW w:type="dxa" w:w="2551"/>
          </w:tcPr>
          <w:p>
            <w:pPr>
              <w:keepNext/>
              <w:spacing w:after="20"/>
            </w:pPr>
            <w:r/>
            <w:r>
              <w:rPr>
                <w:b w:val="0"/>
                <w:i w:val="0"/>
                <w:sz w:val="18"/>
              </w:rPr>
              <w:t>Narrow road reserve and land acquisition</w:t>
            </w:r>
          </w:p>
        </w:tc>
        <w:tc>
          <w:tcPr>
            <w:tcW w:type="dxa" w:w="7087"/>
          </w:tcPr>
          <w:p>
            <w:pPr>
              <w:keepNext/>
              <w:spacing w:after="20"/>
            </w:pPr>
            <w:r/>
            <w:r>
              <w:rPr>
                <w:b w:val="0"/>
                <w:i w:val="0"/>
                <w:sz w:val="18"/>
              </w:rPr>
              <w:t>Typical sections tested against surveyed boundaries early. A land acquisition plan for #16, #46, #50, #52, #78 and #160 shows the take for the desirable profile and for a reduced profile where the full take is not feasible.</w:t>
            </w:r>
          </w:p>
        </w:tc>
      </w:tr>
      <w:tr>
        <w:trPr>
          <w:cantSplit/>
        </w:trPr>
        <w:tc>
          <w:tcPr>
            <w:tcW w:type="dxa" w:w="2551"/>
          </w:tcPr>
          <w:p>
            <w:pPr>
              <w:keepNext/>
              <w:spacing w:after="20"/>
            </w:pPr>
            <w:r/>
            <w:r>
              <w:rPr>
                <w:b w:val="0"/>
                <w:i w:val="0"/>
                <w:sz w:val="18"/>
              </w:rPr>
              <w:t>Stobie poles, services and trees</w:t>
            </w:r>
          </w:p>
        </w:tc>
        <w:tc>
          <w:tcPr>
            <w:tcW w:type="dxa" w:w="7087"/>
          </w:tcPr>
          <w:p>
            <w:pPr>
              <w:keepNext/>
              <w:spacing w:after="20"/>
            </w:pPr>
            <w:r/>
            <w:r>
              <w:rPr>
                <w:b w:val="0"/>
                <w:i w:val="0"/>
                <w:sz w:val="18"/>
              </w:rPr>
              <w:t>QL-B services location and a 3D tree survey from the start, a services conflict register, the north shared path behind the poles with clearances checked, and a tree-sensitive alignment developed with Council's arborist.</w:t>
            </w:r>
          </w:p>
        </w:tc>
      </w:tr>
      <w:tr>
        <w:trPr>
          <w:cantSplit/>
        </w:trPr>
        <w:tc>
          <w:tcPr>
            <w:tcW w:type="dxa" w:w="2551"/>
          </w:tcPr>
          <w:p>
            <w:pPr>
              <w:keepNext/>
              <w:spacing w:after="20"/>
            </w:pPr>
            <w:r/>
            <w:r>
              <w:rPr>
                <w:b w:val="0"/>
                <w:i w:val="0"/>
                <w:sz w:val="18"/>
              </w:rPr>
              <w:t>Creek crossings and flooding</w:t>
            </w:r>
          </w:p>
        </w:tc>
        <w:tc>
          <w:tcPr>
            <w:tcW w:type="dxa" w:w="7087"/>
          </w:tcPr>
          <w:p>
            <w:pPr>
              <w:keepNext/>
              <w:spacing w:after="20"/>
            </w:pPr>
            <w:r/>
            <w:r>
              <w:rPr>
                <w:b w:val="0"/>
                <w:i w:val="0"/>
                <w:sz w:val="18"/>
              </w:rPr>
              <w:t>Catchment hydrology, a preliminary flood assessment and 1% AEP culvert capacity and condition checks, with SSP2-4.5 (2100) and SSP3-7.0 sensitivity, so road levels and culvert upgrades are set before the preliminary 30% design.</w:t>
            </w:r>
          </w:p>
        </w:tc>
      </w:tr>
      <w:tr>
        <w:trPr>
          <w:cantSplit/>
        </w:trPr>
        <w:tc>
          <w:tcPr>
            <w:tcW w:type="dxa" w:w="2551"/>
          </w:tcPr>
          <w:p>
            <w:pPr>
              <w:keepNext/>
              <w:spacing w:after="20"/>
            </w:pPr>
            <w:r/>
            <w:r>
              <w:rPr>
                <w:b w:val="0"/>
                <w:i w:val="0"/>
                <w:sz w:val="18"/>
              </w:rPr>
              <w:t>Options to resolve</w:t>
            </w:r>
          </w:p>
        </w:tc>
        <w:tc>
          <w:tcPr>
            <w:tcW w:type="dxa" w:w="7087"/>
          </w:tcPr>
          <w:p>
            <w:pPr>
              <w:keepNext/>
              <w:spacing w:after="20"/>
            </w:pPr>
            <w:r/>
            <w:r>
              <w:rPr>
                <w:b w:val="0"/>
                <w:i w:val="0"/>
                <w:sz w:val="18"/>
              </w:rPr>
              <w:t>A multi-criteria assessment of the roundabout location east of the creek, the Silverwood Drive CHR against closure, CHR warrants at the retirement village and #78, and the trail crossing treatment.</w:t>
            </w:r>
          </w:p>
        </w:tc>
      </w:tr>
      <w:tr>
        <w:trPr>
          <w:cantSplit/>
        </w:trPr>
        <w:tc>
          <w:tcPr>
            <w:tcW w:type="dxa" w:w="2551"/>
          </w:tcPr>
          <w:p>
            <w:pPr>
              <w:spacing w:after="20"/>
            </w:pPr>
            <w:r/>
            <w:r>
              <w:rPr>
                <w:b w:val="0"/>
                <w:i w:val="0"/>
                <w:sz w:val="18"/>
              </w:rPr>
              <w:t>Uncertain development timing</w:t>
            </w:r>
          </w:p>
        </w:tc>
        <w:tc>
          <w:tcPr>
            <w:tcW w:type="dxa" w:w="7087"/>
          </w:tcPr>
          <w:p>
            <w:pPr>
              <w:spacing w:after="20"/>
            </w:pPr>
            <w:r/>
            <w:r>
              <w:rPr>
                <w:b w:val="0"/>
                <w:i w:val="0"/>
                <w:sz w:val="18"/>
              </w:rPr>
              <w:t>Interim and ultimate layouts where development timing drives the design, carried into the staging plan and cost estimate.</w:t>
            </w:r>
          </w:p>
        </w:tc>
      </w:tr>
    </w:tbl>
    <w:p>
      <w:pPr>
        <w:spacing w:after="40"/>
      </w:pPr>
    </w:p>
    <w:p>
      <w:pPr>
        <w:pStyle w:val="Heading1"/>
      </w:pPr>
      <w:r>
        <w:t>2.0   Methodology and scope of services</w:t>
      </w:r>
    </w:p>
    <w:p>
      <w:r>
        <w:rPr>
          <w:b w:val="0"/>
          <w:i w:val="0"/>
        </w:rPr>
        <w:t>The methodology follows Brief sections 3 to 6 in three stages that match Council's milestones (Brief Table 1) and the fee breakdown in Section 8.0. Work marked [Sub] is delivered by a JCE sub-consultant within the lump sum.</w:t>
      </w:r>
    </w:p>
    <w:p>
      <w:pPr>
        <w:pStyle w:val="Heading2"/>
      </w:pPr>
      <w:r>
        <w:t>How JCE manages the team</w:t>
      </w:r>
    </w:p>
    <w:p>
      <w:pPr>
        <w:pStyle w:val="ListBullet"/>
      </w:pPr>
      <w:r>
        <w:rPr>
          <w:b w:val="0"/>
          <w:i w:val="0"/>
        </w:rPr>
        <w:t>One program with Council's hold points: 10% design briefing workshop, preliminary 30% design and workshop, and final concept.</w:t>
      </w:r>
    </w:p>
    <w:p>
      <w:pPr>
        <w:pStyle w:val="ListBullet"/>
      </w:pPr>
      <w:r>
        <w:rPr>
          <w:b w:val="0"/>
          <w:i w:val="0"/>
        </w:rPr>
        <w:t>Jayden reviews every sub-consultant deliverable against the Brief and the Concept Design Basis Report before it is issued to Council.</w:t>
      </w:r>
    </w:p>
    <w:p>
      <w:pPr>
        <w:pStyle w:val="ListBullet"/>
      </w:pPr>
      <w:r>
        <w:rPr>
          <w:b w:val="0"/>
          <w:i w:val="0"/>
        </w:rPr>
        <w:t>One comments and actions register (on Council's template) covers Council, road safety audit and Safe System Assessment comments, with JCE's response and close-out for each item.</w:t>
      </w:r>
    </w:p>
    <w:p>
      <w:pPr>
        <w:pStyle w:val="ListBullet"/>
      </w:pPr>
      <w:r>
        <w:rPr>
          <w:b w:val="0"/>
          <w:i w:val="0"/>
        </w:rPr>
        <w:t>A short written progress report with each monthly online meeting: progress against program, decisions needed from Council, risks and early warnings.</w:t>
      </w:r>
    </w:p>
    <w:p>
      <w:pPr>
        <w:pStyle w:val="ListBullet"/>
      </w:pPr>
      <w:r>
        <w:rPr>
          <w:b w:val="0"/>
          <w:i w:val="0"/>
        </w:rPr>
        <w:t>Independent technical review of the civil documentation before each issue by Livio Chiarot, FIEAust [TBC - Jayden: confirm Livio's availability].</w:t>
      </w:r>
    </w:p>
    <w:p>
      <w:pPr>
        <w:pStyle w:val="Heading2"/>
      </w:pPr>
      <w:r>
        <w:t>Stage 1: Start-up, investigations and Concept Design Basis (to the 10% workshop, 12/02/2027)</w:t>
      </w:r>
    </w:p>
    <w:p>
      <w:pPr>
        <w:pStyle w:val="ListBullet"/>
      </w:pPr>
      <w:r>
        <w:rPr>
          <w:b w:val="0"/>
          <w:i w:val="0"/>
        </w:rPr>
        <w:t>Start-up meeting with Council and a two-day site appraisal of the whole corridor: drainage lines, culvert condition, verges, accesses, stobie poles, trees and interfaces, with a photo log (by 04/12/2026). JCE will also fly the corridor with its RTK drone and process the capture in Autodesk ReCap Pro into an orthophoto and a terrain surface of existing conditions (verges, accesses, culvert inlets and outlets, trees and stobie poles); the ReCap surface feeds the InfraWorks and Civil 3D concept design model as context for the options and workshops, and supplements the engineering survey without replacing it.</w:t>
      </w:r>
    </w:p>
    <w:p>
      <w:pPr>
        <w:pStyle w:val="ListBullet"/>
      </w:pPr>
      <w:r>
        <w:rPr>
          <w:b w:val="0"/>
          <w:i w:val="0"/>
        </w:rPr>
        <w:t>Project management plan, program, risk register and Safety in Design hazard register.</w:t>
      </w:r>
    </w:p>
    <w:p>
      <w:pPr>
        <w:pStyle w:val="ListBullet"/>
      </w:pPr>
      <w:r>
        <w:rPr>
          <w:b w:val="0"/>
          <w:i w:val="0"/>
        </w:rPr>
        <w:t>Collection and review of DIT's intersection design, Council's CWMS and stormwater layout plans, the approved #73 CHR design, the Bollen Road closure, the link road and roundabout options, development plans, AADT and crash data.</w:t>
      </w:r>
    </w:p>
    <w:p>
      <w:pPr>
        <w:pStyle w:val="ListBullet"/>
      </w:pPr>
      <w:r>
        <w:rPr>
          <w:b w:val="0"/>
          <w:i w:val="0"/>
        </w:rPr>
        <w:t>BYDA search and services conflict register; liaison with SA Power Networks, SA Water, NBN Co and the gas network operator.</w:t>
      </w:r>
    </w:p>
    <w:p>
      <w:pPr>
        <w:pStyle w:val="ListBullet"/>
      </w:pPr>
      <w:r>
        <w:rPr>
          <w:b w:val="0"/>
          <w:i w:val="0"/>
        </w:rPr>
        <w:t>Engineering survey on GDA2020 MGA Zone 54 and AHD, with underground services location to Quality Level B, a 3D tree survey model and property boundaries, delivered as A1 plans, DWG, DTM and breaklines (Brief 3.2 and 3.3) [Sub].</w:t>
      </w:r>
    </w:p>
    <w:p>
      <w:pPr>
        <w:pStyle w:val="ListBullet"/>
      </w:pPr>
      <w:r>
        <w:rPr>
          <w:b w:val="0"/>
          <w:i w:val="0"/>
        </w:rPr>
        <w:t>Geotechnical investigation scope agreed with Council before work on site, then boreholes, testing and a pavement design report using Council's AADT (Brief 3.4) [Sub].</w:t>
      </w:r>
    </w:p>
    <w:p>
      <w:pPr>
        <w:pStyle w:val="ListBullet"/>
      </w:pPr>
      <w:r>
        <w:rPr>
          <w:b w:val="0"/>
          <w:i w:val="0"/>
        </w:rPr>
        <w:t>Concept Design Basis Report: design and posted speeds, design and check vehicles agreed with Council, cross-section elements for each section, standards and departures, drainage and flood criteria, lighting categories, and the interfaces with others.</w:t>
      </w:r>
    </w:p>
    <w:p>
      <w:pPr>
        <w:pStyle w:val="ListBullet"/>
      </w:pPr>
      <w:r>
        <w:rPr>
          <w:b w:val="0"/>
          <w:i w:val="0"/>
        </w:rPr>
        <w:t>10% design briefing workshop with Council's stakeholders.</w:t>
      </w:r>
    </w:p>
    <w:p>
      <w:pPr>
        <w:pStyle w:val="Heading2"/>
      </w:pPr>
      <w:r>
        <w:t>Stage 2: Options and preliminary 30% concept design (to the workshop on 09/04/2027)</w:t>
      </w:r>
    </w:p>
    <w:p>
      <w:pPr>
        <w:pStyle w:val="ListBullet"/>
      </w:pPr>
      <w:r>
        <w:rPr>
          <w:b w:val="0"/>
          <w:i w:val="0"/>
        </w:rPr>
        <w:t>Optioneering of feasible 2D concepts and a multi-criteria assessment (Brief 3.1): roundabout location east of the creek with access to #16; Silverwood Drive CHR against closure with a cul-de-sac or hammerhead; CHR warrants at the retirement village and #78; the north-south trail crossing; interim and ultimate layouts.</w:t>
      </w:r>
    </w:p>
    <w:p>
      <w:pPr>
        <w:pStyle w:val="ListBullet"/>
      </w:pPr>
      <w:r>
        <w:rPr>
          <w:b w:val="0"/>
          <w:i w:val="0"/>
        </w:rPr>
        <w:t>Civil 3D corridor model, horizontal and vertical concept, typical cross-sections for each section, and the feasibility of the verge earthworks about 40 m to 210 m west of Silverwood Drive (Brief 3.5).</w:t>
      </w:r>
    </w:p>
    <w:p>
      <w:pPr>
        <w:pStyle w:val="ListBullet"/>
      </w:pPr>
      <w:r>
        <w:rPr>
          <w:b w:val="0"/>
          <w:i w:val="0"/>
        </w:rPr>
        <w:t>Intersection, CHR and CHL layouts with tie-ins to DIT's intersection, the #73 CHR, the Bollen Road closure and the link road and roundabout; swept paths and sight distance at intersections, accesses and crossings.</w:t>
      </w:r>
    </w:p>
    <w:p>
      <w:pPr>
        <w:pStyle w:val="ListBullet"/>
      </w:pPr>
      <w:r>
        <w:rPr>
          <w:b w:val="0"/>
          <w:i w:val="0"/>
        </w:rPr>
        <w:t>Shared path and footpath layout, DDA compliance as far as practicable, and stobie pole clearances.</w:t>
      </w:r>
    </w:p>
    <w:p>
      <w:pPr>
        <w:pStyle w:val="ListBullet"/>
      </w:pPr>
      <w:r>
        <w:rPr>
          <w:b w:val="0"/>
          <w:i w:val="0"/>
        </w:rPr>
        <w:t>Stormwater (Brief 3.6): full contributing catchments, existing provisions, minor (10% AEP) and major (1% AEP) systems, overland flow paths, a preliminary flood assessment at the creek crossings, 1% AEP capacity and condition of the existing culverts with upgrade requirements, SSP2-4.5 (2100) with SSP3-7.0 sensitivity, and WSUD treatment of road runoff.</w:t>
      </w:r>
    </w:p>
    <w:p>
      <w:pPr>
        <w:pStyle w:val="ListBullet"/>
      </w:pPr>
      <w:r>
        <w:rPr>
          <w:b w:val="0"/>
          <w:i w:val="0"/>
        </w:rPr>
        <w:t>Traffic assessment with SIDRA modelling of the key intersections, a Safe System Assessment of the options, and a preliminary 30% road safety audit by an independent auditor [Sub].</w:t>
      </w:r>
    </w:p>
    <w:p>
      <w:pPr>
        <w:pStyle w:val="ListBullet"/>
      </w:pPr>
      <w:r>
        <w:rPr>
          <w:b w:val="0"/>
          <w:i w:val="0"/>
        </w:rPr>
        <w:t>Tree Assessment Report prepared with Council's arborist, and refinement of the alignment to retain high value trees (Brief 3.9) [Sub].</w:t>
      </w:r>
    </w:p>
    <w:p>
      <w:pPr>
        <w:pStyle w:val="ListBullet"/>
      </w:pPr>
      <w:r>
        <w:rPr>
          <w:b w:val="0"/>
          <w:i w:val="0"/>
        </w:rPr>
        <w:t>Street lighting concept to AS/NZS 1158: category V5 from Canberra Street to the link road and PR5 from the link road to Liebelt Summer Track, with luminaire and pole locations and electrical requirements (Brief 3.8) [Sub].</w:t>
      </w:r>
    </w:p>
    <w:p>
      <w:pPr>
        <w:pStyle w:val="ListBullet"/>
      </w:pPr>
      <w:r>
        <w:rPr>
          <w:b w:val="0"/>
          <w:i w:val="0"/>
        </w:rPr>
        <w:t>Preliminary 30% drawings, preliminary Concept Design Report and cost estimate, and a design workshop with Council's stakeholders.</w:t>
      </w:r>
    </w:p>
    <w:p>
      <w:pPr>
        <w:pStyle w:val="Heading2"/>
      </w:pPr>
      <w:r>
        <w:t>Stage 3: Final concept design (to completion, 18/06/2027)</w:t>
      </w:r>
    </w:p>
    <w:p>
      <w:pPr>
        <w:pStyle w:val="ListBullet"/>
      </w:pPr>
      <w:r>
        <w:rPr>
          <w:b w:val="0"/>
          <w:i w:val="0"/>
        </w:rPr>
        <w:t>Responses to Council's consolidated comments and to the road safety audit and Safe System Assessment, recorded in the comments register.</w:t>
      </w:r>
    </w:p>
    <w:p>
      <w:pPr>
        <w:pStyle w:val="ListBullet"/>
      </w:pPr>
      <w:r>
        <w:rPr>
          <w:b w:val="0"/>
          <w:i w:val="0"/>
        </w:rPr>
        <w:t>Traffic control devices, signage and linemarking concept and the traffic control plan (Brief 3.7).</w:t>
      </w:r>
    </w:p>
    <w:p>
      <w:pPr>
        <w:pStyle w:val="ListBullet"/>
      </w:pPr>
      <w:r>
        <w:rPr>
          <w:b w:val="0"/>
          <w:i w:val="0"/>
        </w:rPr>
        <w:t>Safety in Design workshop and report (Brief 3.11).</w:t>
      </w:r>
    </w:p>
    <w:p>
      <w:pPr>
        <w:pStyle w:val="ListBullet"/>
      </w:pPr>
      <w:r>
        <w:rPr>
          <w:b w:val="0"/>
          <w:i w:val="0"/>
        </w:rPr>
        <w:t>Land acquisition plan (Brief 3.10) and project staging plan for the interim and ultimate layouts.</w:t>
      </w:r>
    </w:p>
    <w:p>
      <w:pPr>
        <w:pStyle w:val="ListBullet"/>
      </w:pPr>
      <w:r>
        <w:rPr>
          <w:b w:val="0"/>
          <w:i w:val="0"/>
        </w:rPr>
        <w:t>Final concept drawings (PDF and AutoCAD), final Concept Design Report, final road safety audit, and a concept cost estimate covering pavement, paths, drainage, traffic control, service alterations, lighting, landscaping and ancillary works (Brief 3.12), with a concept streetscape and landscape plan to Council's scope.</w:t>
      </w:r>
    </w:p>
    <w:p>
      <w:pPr>
        <w:pStyle w:val="ListBullet"/>
      </w:pPr>
      <w:r>
        <w:rPr>
          <w:b w:val="0"/>
          <w:i w:val="0"/>
        </w:rPr>
        <w:t>Monthly online progress meetings throughout.</w:t>
      </w:r>
    </w:p>
    <w:p>
      <w:pPr>
        <w:pStyle w:val="Heading2"/>
      </w:pPr>
      <w:r>
        <w:t>Separable Portions 2 and 3</w:t>
      </w:r>
    </w:p>
    <w:p>
      <w:r>
        <w:rPr>
          <w:b w:val="0"/>
          <w:i w:val="0"/>
        </w:rPr>
        <w:t>JCE will not start any SP2 or SP3 work until Council issues a written Variation (Agreement clause 2.5). The SP2 and SP3 scope in Section 8.4 is set out so that each portion can be activated on its own. Its dependencies are the approved 30% concept, Council's budget approval, and potholing of critical services before detailed design. JCE can start SP2 within four weeks of a written Variation.</w:t>
      </w:r>
    </w:p>
    <w:p>
      <w:pPr>
        <w:pStyle w:val="Heading1"/>
      </w:pPr>
      <w:r>
        <w:t>3.0   Deliverables</w:t>
      </w:r>
    </w:p>
    <w:p>
      <w:pPr>
        <w:pStyle w:val="ListBullet"/>
      </w:pPr>
      <w:r>
        <w:rPr>
          <w:b w:val="0"/>
          <w:i w:val="0"/>
        </w:rPr>
        <w:t>Concept Design Basis Report</w:t>
      </w:r>
    </w:p>
    <w:p>
      <w:pPr>
        <w:pStyle w:val="ListBullet"/>
      </w:pPr>
      <w:r>
        <w:rPr>
          <w:b w:val="0"/>
          <w:i w:val="0"/>
        </w:rPr>
        <w:t>Concept Design Report (road, pavement, stormwater, flood assessment, lighting assessment, Safety in Design, road safety audit, Safe System Assessment, traffic assessment including SIDRA modelling, concept streetscape and landscape plan)</w:t>
      </w:r>
    </w:p>
    <w:p>
      <w:pPr>
        <w:pStyle w:val="ListBullet"/>
      </w:pPr>
      <w:r>
        <w:rPr>
          <w:b w:val="0"/>
          <w:i w:val="0"/>
        </w:rPr>
        <w:t>Final concept design drawings in PDF and AutoCAD format</w:t>
      </w:r>
    </w:p>
    <w:p>
      <w:pPr>
        <w:pStyle w:val="ListBullet"/>
      </w:pPr>
      <w:r>
        <w:rPr>
          <w:b w:val="0"/>
          <w:i w:val="0"/>
        </w:rPr>
        <w:t>Concept design comments register (Council template)</w:t>
      </w:r>
    </w:p>
    <w:p>
      <w:pPr>
        <w:pStyle w:val="ListBullet"/>
      </w:pPr>
      <w:r>
        <w:rPr>
          <w:b w:val="0"/>
          <w:i w:val="0"/>
        </w:rPr>
        <w:t>Land acquisition plan</w:t>
      </w:r>
    </w:p>
    <w:p>
      <w:pPr>
        <w:pStyle w:val="ListBullet"/>
      </w:pPr>
      <w:r>
        <w:rPr>
          <w:b w:val="0"/>
          <w:i w:val="0"/>
        </w:rPr>
        <w:t>Project staging plan</w:t>
      </w:r>
    </w:p>
    <w:p>
      <w:pPr>
        <w:pStyle w:val="ListBullet"/>
      </w:pPr>
      <w:r>
        <w:rPr>
          <w:b w:val="0"/>
          <w:i w:val="0"/>
        </w:rPr>
        <w:t>Concept design cost estimate</w:t>
      </w:r>
    </w:p>
    <w:p>
      <w:pPr>
        <w:pStyle w:val="ListBullet"/>
      </w:pPr>
      <w:r>
        <w:rPr>
          <w:b w:val="0"/>
          <w:i w:val="0"/>
        </w:rPr>
        <w:t>Appendices: engineering survey, geotechnical and pavement design report, Tree Assessment Report and lighting concept</w:t>
      </w:r>
    </w:p>
    <w:p>
      <w:r>
        <w:rPr>
          <w:b w:val="0"/>
          <w:i w:val="0"/>
        </w:rPr>
        <w:t>Design status. Drawings and reports are issued for the purpose stated in the transmittal. Concept design documents are not suitable for construction.</w:t>
      </w:r>
    </w:p>
    <w:p>
      <w:pPr>
        <w:pStyle w:val="Heading1"/>
      </w:pPr>
      <w:r>
        <w:t>4.0   Program</w:t>
      </w:r>
    </w:p>
    <w:p>
      <w:pPr>
        <w:keepNext/>
      </w:pPr>
      <w:r>
        <w:rPr>
          <w:b w:val="0"/>
          <w:i w:val="0"/>
        </w:rPr>
        <w:t>JCE confirms it can meet Council's target program and milestone dates (Brief Table 1).</w:t>
      </w:r>
    </w:p>
    <w:p>
      <w:pPr>
        <w:keepNext/>
      </w:pPr>
      <w:r>
        <w:drawing>
          <wp:inline xmlns:a="http://schemas.openxmlformats.org/drawingml/2006/main" xmlns:pic="http://schemas.openxmlformats.org/drawingml/2006/picture">
            <wp:extent cx="6120000" cy="2815200"/>
            <wp:docPr id="1" name="Picture 1"/>
            <wp:cNvGraphicFramePr>
              <a:graphicFrameLocks noChangeAspect="1"/>
            </wp:cNvGraphicFramePr>
            <a:graphic>
              <a:graphicData uri="http://schemas.openxmlformats.org/drawingml/2006/picture">
                <pic:pic>
                  <pic:nvPicPr>
                    <pic:cNvPr id="0" name="vp523438_program.png"/>
                    <pic:cNvPicPr/>
                  </pic:nvPicPr>
                  <pic:blipFill>
                    <a:blip r:embed="rId10"/>
                    <a:stretch>
                      <a:fillRect/>
                    </a:stretch>
                  </pic:blipFill>
                  <pic:spPr>
                    <a:xfrm>
                      <a:off x="0" y="0"/>
                      <a:ext cx="6120000" cy="2815200"/>
                    </a:xfrm>
                    <a:prstGeom prst="rect"/>
                  </pic:spPr>
                </pic:pic>
              </a:graphicData>
            </a:graphic>
          </wp:inline>
        </w:drawing>
      </w:r>
    </w:p>
    <w:p>
      <w:r>
        <w:rPr>
          <w:b w:val="0"/>
          <w:i/>
          <w:sz w:val="17"/>
        </w:rPr>
        <w:t>Figure 1: Program for Separable Portion 1, award to final concept</w:t>
      </w:r>
    </w:p>
    <w:tbl>
      <w:tblPr>
        <w:tblStyle w:val="TableGrid"/>
        <w:tblW w:type="auto" w:w="0"/>
        <w:jc w:val="center"/>
        <w:tblLayout w:type="fixed"/>
        <w:tblLook w:firstColumn="1" w:firstRow="1" w:lastColumn="0" w:lastRow="0" w:noHBand="0" w:noVBand="1" w:val="04A0"/>
      </w:tblPr>
      <w:tblGrid>
        <w:gridCol w:w="1814"/>
        <w:gridCol w:w="5840"/>
        <w:gridCol w:w="1984"/>
      </w:tblGrid>
      <w:tr>
        <w:trPr>
          <w:tblHeader/>
          <w:cantSplit/>
        </w:trPr>
        <w:tc>
          <w:tcPr>
            <w:tcW w:type="dxa" w:w="1814"/>
            <w:shd w:val="clear" w:color="auto" w:fill="1A1A1A"/>
          </w:tcPr>
          <w:p>
            <w:pPr>
              <w:keepNext/>
            </w:pPr>
            <w:r/>
            <w:r>
              <w:rPr>
                <w:b/>
                <w:color w:val="FFFFFF"/>
                <w:sz w:val="18"/>
              </w:rPr>
              <w:t>Milestone</w:t>
            </w:r>
          </w:p>
        </w:tc>
        <w:tc>
          <w:tcPr>
            <w:tcW w:type="dxa" w:w="5839"/>
            <w:shd w:val="clear" w:color="auto" w:fill="1A1A1A"/>
          </w:tcPr>
          <w:p>
            <w:pPr>
              <w:keepNext/>
            </w:pPr>
            <w:r/>
            <w:r>
              <w:rPr>
                <w:b/>
                <w:color w:val="FFFFFF"/>
                <w:sz w:val="18"/>
              </w:rPr>
              <w:t>Activity</w:t>
            </w:r>
          </w:p>
        </w:tc>
        <w:tc>
          <w:tcPr>
            <w:tcW w:type="dxa" w:w="1984"/>
            <w:shd w:val="clear" w:color="auto" w:fill="1A1A1A"/>
          </w:tcPr>
          <w:p>
            <w:pPr>
              <w:keepNext/>
            </w:pPr>
            <w:r/>
            <w:r>
              <w:rPr>
                <w:b/>
                <w:color w:val="FFFFFF"/>
                <w:sz w:val="18"/>
              </w:rPr>
              <w:t>Date</w:t>
            </w:r>
          </w:p>
        </w:tc>
      </w:tr>
      <w:tr>
        <w:trPr>
          <w:cantSplit/>
        </w:trPr>
        <w:tc>
          <w:tcPr>
            <w:tcW w:type="dxa" w:w="1814"/>
          </w:tcPr>
          <w:p>
            <w:pPr>
              <w:keepNext/>
              <w:spacing w:after="20"/>
            </w:pPr>
            <w:r/>
            <w:r>
              <w:rPr>
                <w:b w:val="0"/>
                <w:i w:val="0"/>
                <w:sz w:val="18"/>
              </w:rPr>
              <w:t>Award</w:t>
            </w:r>
          </w:p>
        </w:tc>
        <w:tc>
          <w:tcPr>
            <w:tcW w:type="dxa" w:w="5839"/>
          </w:tcPr>
          <w:p>
            <w:pPr>
              <w:keepNext/>
              <w:spacing w:after="20"/>
            </w:pPr>
            <w:r/>
            <w:r>
              <w:rPr>
                <w:b w:val="0"/>
                <w:i w:val="0"/>
                <w:sz w:val="18"/>
              </w:rPr>
              <w:t>RFT assessment and award</w:t>
            </w:r>
          </w:p>
        </w:tc>
        <w:tc>
          <w:tcPr>
            <w:tcW w:type="dxa" w:w="1984"/>
          </w:tcPr>
          <w:p>
            <w:pPr>
              <w:keepNext/>
              <w:spacing w:after="20"/>
            </w:pPr>
            <w:r/>
            <w:r>
              <w:rPr>
                <w:b w:val="0"/>
                <w:i w:val="0"/>
                <w:sz w:val="18"/>
              </w:rPr>
              <w:t>20/11/2026</w:t>
            </w:r>
          </w:p>
        </w:tc>
      </w:tr>
      <w:tr>
        <w:trPr>
          <w:cantSplit/>
        </w:trPr>
        <w:tc>
          <w:tcPr>
            <w:tcW w:type="dxa" w:w="1814"/>
          </w:tcPr>
          <w:p>
            <w:pPr>
              <w:keepNext/>
              <w:spacing w:after="20"/>
            </w:pPr>
            <w:r/>
            <w:r>
              <w:rPr>
                <w:b w:val="0"/>
                <w:i w:val="0"/>
                <w:sz w:val="18"/>
              </w:rPr>
              <w:t>Start-up</w:t>
            </w:r>
          </w:p>
        </w:tc>
        <w:tc>
          <w:tcPr>
            <w:tcW w:type="dxa" w:w="5839"/>
          </w:tcPr>
          <w:p>
            <w:pPr>
              <w:keepNext/>
              <w:spacing w:after="20"/>
            </w:pPr>
            <w:r/>
            <w:r>
              <w:rPr>
                <w:b w:val="0"/>
                <w:i w:val="0"/>
                <w:sz w:val="18"/>
              </w:rPr>
              <w:t>Start-up meeting and two-day site appraisal; survey and data requests issued</w:t>
            </w:r>
          </w:p>
        </w:tc>
        <w:tc>
          <w:tcPr>
            <w:tcW w:type="dxa" w:w="1984"/>
          </w:tcPr>
          <w:p>
            <w:pPr>
              <w:keepNext/>
              <w:spacing w:after="20"/>
            </w:pPr>
            <w:r/>
            <w:r>
              <w:rPr>
                <w:b w:val="0"/>
                <w:i w:val="0"/>
                <w:sz w:val="18"/>
              </w:rPr>
              <w:t>by 04/12/2026</w:t>
            </w:r>
          </w:p>
        </w:tc>
      </w:tr>
      <w:tr>
        <w:trPr>
          <w:cantSplit/>
        </w:trPr>
        <w:tc>
          <w:tcPr>
            <w:tcW w:type="dxa" w:w="1814"/>
          </w:tcPr>
          <w:p>
            <w:pPr>
              <w:keepNext/>
              <w:spacing w:after="20"/>
            </w:pPr>
            <w:r/>
            <w:r>
              <w:rPr>
                <w:b w:val="0"/>
                <w:i w:val="0"/>
                <w:sz w:val="18"/>
              </w:rPr>
              <w:t>Investigations</w:t>
            </w:r>
          </w:p>
        </w:tc>
        <w:tc>
          <w:tcPr>
            <w:tcW w:type="dxa" w:w="5839"/>
          </w:tcPr>
          <w:p>
            <w:pPr>
              <w:keepNext/>
              <w:spacing w:after="20"/>
            </w:pPr>
            <w:r/>
            <w:r>
              <w:rPr>
                <w:b w:val="0"/>
                <w:i w:val="0"/>
                <w:sz w:val="18"/>
              </w:rPr>
              <w:t>Engineering survey (allowing for the Christmas period); geotechnical field work once Council agrees the scope</w:t>
            </w:r>
          </w:p>
        </w:tc>
        <w:tc>
          <w:tcPr>
            <w:tcW w:type="dxa" w:w="1984"/>
          </w:tcPr>
          <w:p>
            <w:pPr>
              <w:keepNext/>
              <w:spacing w:after="20"/>
            </w:pPr>
            <w:r/>
            <w:r>
              <w:rPr>
                <w:b w:val="0"/>
                <w:i w:val="0"/>
                <w:sz w:val="18"/>
              </w:rPr>
              <w:t>Dec 2026 to Mar 2027</w:t>
            </w:r>
          </w:p>
        </w:tc>
      </w:tr>
      <w:tr>
        <w:trPr>
          <w:cantSplit/>
        </w:trPr>
        <w:tc>
          <w:tcPr>
            <w:tcW w:type="dxa" w:w="1814"/>
          </w:tcPr>
          <w:p>
            <w:pPr>
              <w:keepNext/>
              <w:spacing w:after="20"/>
            </w:pPr>
            <w:r/>
            <w:r>
              <w:rPr>
                <w:b w:val="0"/>
                <w:i w:val="0"/>
                <w:sz w:val="18"/>
              </w:rPr>
              <w:t>Basis</w:t>
            </w:r>
          </w:p>
        </w:tc>
        <w:tc>
          <w:tcPr>
            <w:tcW w:type="dxa" w:w="5839"/>
          </w:tcPr>
          <w:p>
            <w:pPr>
              <w:keepNext/>
              <w:spacing w:after="20"/>
            </w:pPr>
            <w:r/>
            <w:r>
              <w:rPr>
                <w:b w:val="0"/>
                <w:i w:val="0"/>
                <w:sz w:val="18"/>
              </w:rPr>
              <w:t>Concept Design Basis Report issued five business days before the workshop</w:t>
            </w:r>
          </w:p>
        </w:tc>
        <w:tc>
          <w:tcPr>
            <w:tcW w:type="dxa" w:w="1984"/>
          </w:tcPr>
          <w:p>
            <w:pPr>
              <w:keepNext/>
              <w:spacing w:after="20"/>
            </w:pPr>
            <w:r/>
            <w:r>
              <w:rPr>
                <w:b w:val="0"/>
                <w:i w:val="0"/>
                <w:sz w:val="18"/>
              </w:rPr>
              <w:t>05/02/2027</w:t>
            </w:r>
          </w:p>
        </w:tc>
      </w:tr>
      <w:tr>
        <w:trPr>
          <w:cantSplit/>
        </w:trPr>
        <w:tc>
          <w:tcPr>
            <w:tcW w:type="dxa" w:w="1814"/>
          </w:tcPr>
          <w:p>
            <w:pPr>
              <w:keepNext/>
              <w:spacing w:after="20"/>
            </w:pPr>
            <w:r/>
            <w:r>
              <w:rPr>
                <w:b w:val="0"/>
                <w:i w:val="0"/>
                <w:sz w:val="18"/>
              </w:rPr>
              <w:t>10% workshop</w:t>
            </w:r>
          </w:p>
        </w:tc>
        <w:tc>
          <w:tcPr>
            <w:tcW w:type="dxa" w:w="5839"/>
          </w:tcPr>
          <w:p>
            <w:pPr>
              <w:keepNext/>
              <w:spacing w:after="20"/>
            </w:pPr>
            <w:r/>
            <w:r>
              <w:rPr>
                <w:b w:val="0"/>
                <w:i w:val="0"/>
                <w:sz w:val="18"/>
              </w:rPr>
              <w:t>10% design briefing workshop</w:t>
            </w:r>
          </w:p>
        </w:tc>
        <w:tc>
          <w:tcPr>
            <w:tcW w:type="dxa" w:w="1984"/>
          </w:tcPr>
          <w:p>
            <w:pPr>
              <w:keepNext/>
              <w:spacing w:after="20"/>
            </w:pPr>
            <w:r/>
            <w:r>
              <w:rPr>
                <w:b w:val="0"/>
                <w:i w:val="0"/>
                <w:sz w:val="18"/>
              </w:rPr>
              <w:t>12/02/2027</w:t>
            </w:r>
          </w:p>
        </w:tc>
      </w:tr>
      <w:tr>
        <w:trPr>
          <w:cantSplit/>
        </w:trPr>
        <w:tc>
          <w:tcPr>
            <w:tcW w:type="dxa" w:w="1814"/>
          </w:tcPr>
          <w:p>
            <w:pPr>
              <w:keepNext/>
              <w:spacing w:after="20"/>
            </w:pPr>
            <w:r/>
            <w:r>
              <w:rPr>
                <w:b w:val="0"/>
                <w:i w:val="0"/>
                <w:sz w:val="18"/>
              </w:rPr>
              <w:t>Preliminary 30%</w:t>
            </w:r>
          </w:p>
        </w:tc>
        <w:tc>
          <w:tcPr>
            <w:tcW w:type="dxa" w:w="5839"/>
          </w:tcPr>
          <w:p>
            <w:pPr>
              <w:keepNext/>
              <w:spacing w:after="20"/>
            </w:pPr>
            <w:r/>
            <w:r>
              <w:rPr>
                <w:b w:val="0"/>
                <w:i w:val="0"/>
                <w:sz w:val="18"/>
              </w:rPr>
              <w:t>Preliminary 30% concept, cost estimate, road safety audit and workshop</w:t>
            </w:r>
          </w:p>
        </w:tc>
        <w:tc>
          <w:tcPr>
            <w:tcW w:type="dxa" w:w="1984"/>
          </w:tcPr>
          <w:p>
            <w:pPr>
              <w:keepNext/>
              <w:spacing w:after="20"/>
            </w:pPr>
            <w:r/>
            <w:r>
              <w:rPr>
                <w:b w:val="0"/>
                <w:i w:val="0"/>
                <w:sz w:val="18"/>
              </w:rPr>
              <w:t>09/04/2027</w:t>
            </w:r>
          </w:p>
        </w:tc>
      </w:tr>
      <w:tr>
        <w:trPr>
          <w:cantSplit/>
        </w:trPr>
        <w:tc>
          <w:tcPr>
            <w:tcW w:type="dxa" w:w="1814"/>
          </w:tcPr>
          <w:p>
            <w:pPr>
              <w:spacing w:after="20"/>
            </w:pPr>
            <w:r/>
            <w:r>
              <w:rPr>
                <w:b w:val="0"/>
                <w:i w:val="0"/>
                <w:sz w:val="18"/>
              </w:rPr>
              <w:t>Final</w:t>
            </w:r>
          </w:p>
        </w:tc>
        <w:tc>
          <w:tcPr>
            <w:tcW w:type="dxa" w:w="5839"/>
          </w:tcPr>
          <w:p>
            <w:pPr>
              <w:spacing w:after="20"/>
            </w:pPr>
            <w:r/>
            <w:r>
              <w:rPr>
                <w:b w:val="0"/>
                <w:i w:val="0"/>
                <w:sz w:val="18"/>
              </w:rPr>
              <w:t>Final concept, reports, land acquisition and staging plans, cost estimate</w:t>
            </w:r>
          </w:p>
        </w:tc>
        <w:tc>
          <w:tcPr>
            <w:tcW w:type="dxa" w:w="1984"/>
          </w:tcPr>
          <w:p>
            <w:pPr>
              <w:spacing w:after="20"/>
            </w:pPr>
            <w:r/>
            <w:r>
              <w:rPr>
                <w:b w:val="0"/>
                <w:i w:val="0"/>
                <w:sz w:val="18"/>
              </w:rPr>
              <w:t>18/06/2027</w:t>
            </w:r>
          </w:p>
        </w:tc>
      </w:tr>
    </w:tbl>
    <w:p>
      <w:pPr>
        <w:spacing w:after="40"/>
      </w:pPr>
    </w:p>
    <w:p>
      <w:r>
        <w:rPr>
          <w:b w:val="0"/>
          <w:i w:val="0"/>
        </w:rPr>
        <w:t>The program assumes Council returns consolidated comments within ten business days of each issue and provides the information in Section 6.0 at start-up. JCE will give early warning if DIT, developer or Council decisions on the interface designs affect the program.</w:t>
      </w:r>
    </w:p>
    <w:p>
      <w:pPr>
        <w:pStyle w:val="Heading1"/>
      </w:pPr>
      <w:r>
        <w:t>5.0   Team, sub-consultants and availability</w:t>
      </w:r>
    </w:p>
    <w:p>
      <w:pPr>
        <w:pStyle w:val="Heading2"/>
      </w:pPr>
      <w:r>
        <w:t>5.1   Key personnel</w:t>
      </w:r>
    </w:p>
    <w:p>
      <w:r>
        <w:rPr>
          <w:b/>
          <w:i w:val="0"/>
        </w:rPr>
        <w:t>Jayden Callen, BEng (Civil)(Hons), MIEAust (EA 11036201).</w:t>
      </w:r>
      <w:r>
        <w:rPr>
          <w:b w:val="0"/>
          <w:i w:val="0"/>
        </w:rPr>
        <w:t xml:space="preserve"> Director, design lead, Contractor's Representative and Council's single point of contact. Civil engineer with more than eight years of continuous experience across roads and pavements, stormwater and flooding, land development, and water and sewerage, including Defence infrastructure delivery with tier-one contractors. National Engineering Register application in progress. Detailed CV in Attachment B.</w:t>
      </w:r>
    </w:p>
    <w:p>
      <w:pPr>
        <w:pStyle w:val="ListBullet"/>
      </w:pPr>
      <w:r>
        <w:rPr>
          <w:b w:val="0"/>
          <w:i w:val="0"/>
        </w:rPr>
        <w:t>Roads and pavements: road geometry to the Austroads guides; mechanistic pavement design with CIRCLY (Centre for Pavement Engineering Education training).</w:t>
      </w:r>
    </w:p>
    <w:p>
      <w:pPr>
        <w:pStyle w:val="ListBullet"/>
      </w:pPr>
      <w:r>
        <w:rPr>
          <w:b w:val="0"/>
          <w:i w:val="0"/>
        </w:rPr>
        <w:t>Stormwater and flooding: DRAINS (core workshop) and MUSIC X; flood impact assessment to ARR 2019 with specialist flood modellers.</w:t>
      </w:r>
    </w:p>
    <w:p>
      <w:pPr>
        <w:pStyle w:val="ListBullet"/>
      </w:pPr>
      <w:r>
        <w:rPr>
          <w:b w:val="0"/>
          <w:i w:val="0"/>
        </w:rPr>
        <w:t>Costs: engineer's estimates, bills of quantities and variation pricing.</w:t>
      </w:r>
    </w:p>
    <w:p>
      <w:pPr>
        <w:pStyle w:val="ListBullet"/>
      </w:pPr>
      <w:r>
        <w:rPr>
          <w:b w:val="0"/>
          <w:i w:val="0"/>
        </w:rPr>
        <w:t>Software: Civil 3D (advanced, with AutoLISP automation), Navisworks and InfraWorks.</w:t>
      </w:r>
    </w:p>
    <w:p>
      <w:pPr>
        <w:pStyle w:val="ListBullet"/>
      </w:pPr>
      <w:r>
        <w:rPr>
          <w:b w:val="0"/>
          <w:i w:val="0"/>
        </w:rPr>
        <w:t>Drone photogrammetry workflow: DJI capture with RTK, Autodesk ReCap Pro for point clouds, surfaces and orthophotos, Autodesk InfraWorks and Civil 3D for design integration, and QGIS for GIS and asset register delivery. Jayden has delivered drone photogrammetry on previous projects, processing captures in Autodesk ReCap Pro to build point clouds and terrain surfaces for use in Autodesk InfraWorks and civil design models.</w:t>
      </w:r>
    </w:p>
    <w:p>
      <w:r>
        <w:rPr>
          <w:b/>
          <w:i w:val="0"/>
        </w:rPr>
        <w:t>Resources and equipment.</w:t>
      </w:r>
      <w:r>
        <w:rPr>
          <w:b w:val="0"/>
          <w:i w:val="0"/>
        </w:rPr>
        <w:t xml:space="preserve"> JCE's related business, Glide Inside (glideinside.com.au), produces 3D digital models and visualisation for the property and construction sector. JCE delivers drone photogrammetry (orthophotos, 3D models and geotagged inspection imagery). JCE will deploy a DJI Mavic 3 Enterprise with RTK, operated under CASA's sub-2 kg excluded category, with CASA operator accreditation in place before services start. Hawthorn Road is more than 30 km from the nearest controlled aerodromes (Adelaide Airport and Parafield), well outside the 5.5 km limit for the excluded category; flights will be in daylight, within visual line of sight, below 120 m and clear of road users and the public as CASA's standard operating conditions require.</w:t>
      </w:r>
    </w:p>
    <w:p>
      <w:r>
        <w:rPr>
          <w:b/>
          <w:i w:val="0"/>
        </w:rPr>
        <w:t>Registration.</w:t>
      </w:r>
      <w:r>
        <w:rPr>
          <w:b w:val="0"/>
          <w:i w:val="0"/>
        </w:rPr>
        <w:t xml:space="preserve"> The Brief and Agreement do not require CPEng, NER or any State registration for this work. South Australia does not currently require engineers to be registered to provide these services [TBC - Jayden: confirm on legislation.sa.gov.au before lodging]. If a registration requirement starts during the commission and applies to these services, JCE will comply, including by engaging a registered engineer for review and sign-off.</w:t>
      </w:r>
    </w:p>
    <w:p>
      <w:pPr>
        <w:pStyle w:val="Heading2"/>
      </w:pPr>
      <w:r>
        <w:t>5.2   Schedule of proposed sub-consultants</w:t>
      </w:r>
    </w:p>
    <w:p>
      <w:pPr>
        <w:keepNext/>
      </w:pPr>
      <w:r>
        <w:rPr>
          <w:b w:val="0"/>
          <w:i w:val="0"/>
        </w:rPr>
        <w:t>JCE has issued requests for quotation to two or three firms in each discipline, with preference for Adelaide and Adelaide Hills firms. Quotations are due on 23/10/2026. JCE will confirm the selected firm in each discipline to Council and seek its consent under clause 19 of the Agreement before engaging them.</w:t>
      </w:r>
    </w:p>
    <w:tbl>
      <w:tblPr>
        <w:tblStyle w:val="TableGrid"/>
        <w:tblW w:type="auto" w:w="0"/>
        <w:jc w:val="center"/>
        <w:tblLayout w:type="fixed"/>
        <w:tblLook w:firstColumn="1" w:firstRow="1" w:lastColumn="0" w:lastRow="0" w:noHBand="0" w:noVBand="1" w:val="04A0"/>
      </w:tblPr>
      <w:tblGrid>
        <w:gridCol w:w="2041"/>
        <w:gridCol w:w="4082"/>
        <w:gridCol w:w="3515"/>
      </w:tblGrid>
      <w:tr>
        <w:trPr>
          <w:tblHeader/>
          <w:cantSplit/>
        </w:trPr>
        <w:tc>
          <w:tcPr>
            <w:tcW w:type="dxa" w:w="2041"/>
            <w:shd w:val="clear" w:color="auto" w:fill="1A1A1A"/>
          </w:tcPr>
          <w:p>
            <w:pPr>
              <w:keepNext/>
            </w:pPr>
            <w:r/>
            <w:r>
              <w:rPr>
                <w:b/>
                <w:color w:val="FFFFFF"/>
                <w:sz w:val="18"/>
              </w:rPr>
              <w:t>Discipline</w:t>
            </w:r>
          </w:p>
        </w:tc>
        <w:tc>
          <w:tcPr>
            <w:tcW w:type="dxa" w:w="4082"/>
            <w:shd w:val="clear" w:color="auto" w:fill="1A1A1A"/>
          </w:tcPr>
          <w:p>
            <w:pPr>
              <w:keepNext/>
            </w:pPr>
            <w:r/>
            <w:r>
              <w:rPr>
                <w:b/>
                <w:color w:val="FFFFFF"/>
                <w:sz w:val="18"/>
              </w:rPr>
              <w:t>Scope</w:t>
            </w:r>
          </w:p>
        </w:tc>
        <w:tc>
          <w:tcPr>
            <w:tcW w:type="dxa" w:w="3515"/>
            <w:shd w:val="clear" w:color="auto" w:fill="1A1A1A"/>
          </w:tcPr>
          <w:p>
            <w:pPr>
              <w:keepNext/>
            </w:pPr>
            <w:r/>
            <w:r>
              <w:rPr>
                <w:b/>
                <w:color w:val="FFFFFF"/>
                <w:sz w:val="18"/>
              </w:rPr>
              <w:t>Firms invited to quote</w:t>
            </w:r>
          </w:p>
        </w:tc>
      </w:tr>
      <w:tr>
        <w:trPr>
          <w:cantSplit/>
        </w:trPr>
        <w:tc>
          <w:tcPr>
            <w:tcW w:type="dxa" w:w="2041"/>
          </w:tcPr>
          <w:p>
            <w:pPr>
              <w:keepNext/>
              <w:spacing w:after="20"/>
            </w:pPr>
            <w:r/>
            <w:r>
              <w:rPr>
                <w:b w:val="0"/>
                <w:i w:val="0"/>
                <w:sz w:val="18"/>
              </w:rPr>
              <w:t>Engineering survey</w:t>
            </w:r>
          </w:p>
        </w:tc>
        <w:tc>
          <w:tcPr>
            <w:tcW w:type="dxa" w:w="4082"/>
          </w:tcPr>
          <w:p>
            <w:pPr>
              <w:keepNext/>
              <w:spacing w:after="20"/>
            </w:pPr>
            <w:r/>
            <w:r>
              <w:rPr>
                <w:b w:val="0"/>
                <w:i w:val="0"/>
                <w:sz w:val="18"/>
              </w:rPr>
              <w:t>Control, detail survey, QL-B services location, 3D tree survey, boundaries (SA licensed surveyor)</w:t>
            </w:r>
          </w:p>
        </w:tc>
        <w:tc>
          <w:tcPr>
            <w:tcW w:type="dxa" w:w="3515"/>
          </w:tcPr>
          <w:p>
            <w:pPr>
              <w:keepNext/>
              <w:spacing w:after="20"/>
            </w:pPr>
            <w:r/>
            <w:r>
              <w:rPr>
                <w:b w:val="0"/>
                <w:i w:val="0"/>
                <w:sz w:val="18"/>
              </w:rPr>
              <w:t>Steed Surveyors (Mount Barker); Alexander Symonds; Mosel Surveyors</w:t>
            </w:r>
          </w:p>
        </w:tc>
      </w:tr>
      <w:tr>
        <w:trPr>
          <w:cantSplit/>
        </w:trPr>
        <w:tc>
          <w:tcPr>
            <w:tcW w:type="dxa" w:w="2041"/>
          </w:tcPr>
          <w:p>
            <w:pPr>
              <w:keepNext/>
              <w:spacing w:after="20"/>
            </w:pPr>
            <w:r/>
            <w:r>
              <w:rPr>
                <w:b w:val="0"/>
                <w:i w:val="0"/>
                <w:sz w:val="18"/>
              </w:rPr>
              <w:t>Geotechnical and pavement</w:t>
            </w:r>
          </w:p>
        </w:tc>
        <w:tc>
          <w:tcPr>
            <w:tcW w:type="dxa" w:w="4082"/>
          </w:tcPr>
          <w:p>
            <w:pPr>
              <w:keepNext/>
              <w:spacing w:after="20"/>
            </w:pPr>
            <w:r/>
            <w:r>
              <w:rPr>
                <w:b w:val="0"/>
                <w:i w:val="0"/>
                <w:sz w:val="18"/>
              </w:rPr>
              <w:t>Investigation, laboratory testing, geotechnical and pavement design reports</w:t>
            </w:r>
          </w:p>
        </w:tc>
        <w:tc>
          <w:tcPr>
            <w:tcW w:type="dxa" w:w="3515"/>
          </w:tcPr>
          <w:p>
            <w:pPr>
              <w:keepNext/>
              <w:spacing w:after="20"/>
            </w:pPr>
            <w:r/>
            <w:r>
              <w:rPr>
                <w:b w:val="0"/>
                <w:i w:val="0"/>
                <w:sz w:val="18"/>
              </w:rPr>
              <w:t>Aeolian Geotechnical (Mount Barker); Douglas Partners; WGA</w:t>
            </w:r>
          </w:p>
        </w:tc>
      </w:tr>
      <w:tr>
        <w:trPr>
          <w:cantSplit/>
        </w:trPr>
        <w:tc>
          <w:tcPr>
            <w:tcW w:type="dxa" w:w="2041"/>
          </w:tcPr>
          <w:p>
            <w:pPr>
              <w:keepNext/>
              <w:spacing w:after="20"/>
            </w:pPr>
            <w:r/>
            <w:r>
              <w:rPr>
                <w:b w:val="0"/>
                <w:i w:val="0"/>
                <w:sz w:val="18"/>
              </w:rPr>
              <w:t>Traffic and road safety</w:t>
            </w:r>
          </w:p>
        </w:tc>
        <w:tc>
          <w:tcPr>
            <w:tcW w:type="dxa" w:w="4082"/>
          </w:tcPr>
          <w:p>
            <w:pPr>
              <w:keepNext/>
              <w:spacing w:after="20"/>
            </w:pPr>
            <w:r/>
            <w:r>
              <w:rPr>
                <w:b w:val="0"/>
                <w:i w:val="0"/>
                <w:sz w:val="18"/>
              </w:rPr>
              <w:t>SIDRA modelling, traffic assessment, Safe System Assessment, independent road safety audits</w:t>
            </w:r>
          </w:p>
        </w:tc>
        <w:tc>
          <w:tcPr>
            <w:tcW w:type="dxa" w:w="3515"/>
          </w:tcPr>
          <w:p>
            <w:pPr>
              <w:keepNext/>
              <w:spacing w:after="20"/>
            </w:pPr>
            <w:r/>
            <w:r>
              <w:rPr>
                <w:b w:val="0"/>
                <w:i w:val="0"/>
                <w:sz w:val="18"/>
              </w:rPr>
              <w:t>SALT; BE Engineering Solutions; CIRQA</w:t>
            </w:r>
          </w:p>
        </w:tc>
      </w:tr>
      <w:tr>
        <w:trPr>
          <w:cantSplit/>
        </w:trPr>
        <w:tc>
          <w:tcPr>
            <w:tcW w:type="dxa" w:w="2041"/>
          </w:tcPr>
          <w:p>
            <w:pPr>
              <w:keepNext/>
              <w:spacing w:after="20"/>
            </w:pPr>
            <w:r/>
            <w:r>
              <w:rPr>
                <w:b w:val="0"/>
                <w:i w:val="0"/>
                <w:sz w:val="18"/>
              </w:rPr>
              <w:t>Arboriculture</w:t>
            </w:r>
          </w:p>
        </w:tc>
        <w:tc>
          <w:tcPr>
            <w:tcW w:type="dxa" w:w="4082"/>
          </w:tcPr>
          <w:p>
            <w:pPr>
              <w:keepNext/>
              <w:spacing w:after="20"/>
            </w:pPr>
            <w:r/>
            <w:r>
              <w:rPr>
                <w:b w:val="0"/>
                <w:i w:val="0"/>
                <w:sz w:val="18"/>
              </w:rPr>
              <w:t>Tree Assessment Report (AQF Level 5 arborist)</w:t>
            </w:r>
          </w:p>
        </w:tc>
        <w:tc>
          <w:tcPr>
            <w:tcW w:type="dxa" w:w="3515"/>
          </w:tcPr>
          <w:p>
            <w:pPr>
              <w:keepNext/>
              <w:spacing w:after="20"/>
            </w:pPr>
            <w:r/>
            <w:r>
              <w:rPr>
                <w:b w:val="0"/>
                <w:i w:val="0"/>
                <w:sz w:val="18"/>
              </w:rPr>
              <w:t>Arborman Tree Solutions; ENSPEC; Adelaide ARB Consultants</w:t>
            </w:r>
          </w:p>
        </w:tc>
      </w:tr>
      <w:tr>
        <w:trPr>
          <w:cantSplit/>
        </w:trPr>
        <w:tc>
          <w:tcPr>
            <w:tcW w:type="dxa" w:w="2041"/>
          </w:tcPr>
          <w:p>
            <w:pPr>
              <w:spacing w:after="20"/>
            </w:pPr>
            <w:r/>
            <w:r>
              <w:rPr>
                <w:b w:val="0"/>
                <w:i w:val="0"/>
                <w:sz w:val="18"/>
              </w:rPr>
              <w:t>Street lighting</w:t>
            </w:r>
          </w:p>
        </w:tc>
        <w:tc>
          <w:tcPr>
            <w:tcW w:type="dxa" w:w="4082"/>
          </w:tcPr>
          <w:p>
            <w:pPr>
              <w:spacing w:after="20"/>
            </w:pPr>
            <w:r/>
            <w:r>
              <w:rPr>
                <w:b w:val="0"/>
                <w:i w:val="0"/>
                <w:sz w:val="18"/>
              </w:rPr>
              <w:t>AS/NZS 1158 lighting concept and SA Power Networks requirements</w:t>
            </w:r>
          </w:p>
        </w:tc>
        <w:tc>
          <w:tcPr>
            <w:tcW w:type="dxa" w:w="3515"/>
          </w:tcPr>
          <w:p>
            <w:pPr>
              <w:spacing w:after="20"/>
            </w:pPr>
            <w:r/>
            <w:r>
              <w:rPr>
                <w:b w:val="0"/>
                <w:i w:val="0"/>
                <w:sz w:val="18"/>
              </w:rPr>
              <w:t>Lucid Consulting Engineers; BESTEC; Clarence Consultants</w:t>
            </w:r>
          </w:p>
        </w:tc>
      </w:tr>
    </w:tbl>
    <w:p>
      <w:pPr>
        <w:spacing w:after="40"/>
      </w:pPr>
    </w:p>
    <w:p>
      <w:r>
        <w:rPr>
          <w:b w:val="0"/>
          <w:i w:val="0"/>
        </w:rPr>
        <w:t>[TBC - Jayden: replace the firms invited with the selected firm in each discipline once quotes arrive, or keep "to be confirmed at award" if quotes are late.]</w:t>
      </w:r>
    </w:p>
    <w:p>
      <w:pPr>
        <w:pStyle w:val="Heading2"/>
      </w:pPr>
      <w:r>
        <w:t>5.3   Availability and current commitments</w:t>
      </w:r>
    </w:p>
    <w:p>
      <w:r>
        <w:rPr>
          <w:b w:val="0"/>
          <w:i w:val="0"/>
        </w:rPr>
        <w:t>JCE has capacity for this commission from award. The JCE effort is about 760 hours over seven months, an average of about 27 hours a week, alongside current commitments of [TBC - Jayden: list current commitments]. Jayden will attend the start-up meeting and site appraisal in person, and one further workshop in Mount Barker; other meetings will be held online.</w:t>
      </w:r>
    </w:p>
    <w:p>
      <w:pPr>
        <w:pStyle w:val="Heading2"/>
      </w:pPr>
      <w:r>
        <w:t>5.4   Relevant experience</w:t>
      </w:r>
    </w:p>
    <w:p>
      <w:pPr>
        <w:keepNext/>
      </w:pPr>
      <w:r>
        <w:rPr>
          <w:b w:val="0"/>
          <w:i w:val="0"/>
        </w:rPr>
        <w:t>Jayden's experience relevant to Hawthorn Road, with referees:</w:t>
      </w:r>
    </w:p>
    <w:tbl>
      <w:tblPr>
        <w:tblStyle w:val="TableGrid"/>
        <w:tblW w:type="auto" w:w="0"/>
        <w:jc w:val="center"/>
        <w:tblLayout w:type="fixed"/>
        <w:tblLook w:firstColumn="1" w:firstRow="1" w:lastColumn="0" w:lastRow="0" w:noHBand="0" w:noVBand="1" w:val="04A0"/>
      </w:tblPr>
      <w:tblGrid>
        <w:gridCol w:w="3402"/>
        <w:gridCol w:w="3685"/>
        <w:gridCol w:w="2551"/>
      </w:tblGrid>
      <w:tr>
        <w:trPr>
          <w:tblHeader/>
          <w:cantSplit/>
        </w:trPr>
        <w:tc>
          <w:tcPr>
            <w:tcW w:type="dxa" w:w="3402"/>
            <w:shd w:val="clear" w:color="auto" w:fill="1A1A1A"/>
          </w:tcPr>
          <w:p>
            <w:pPr>
              <w:keepNext/>
            </w:pPr>
            <w:r/>
            <w:r>
              <w:rPr>
                <w:b/>
                <w:color w:val="FFFFFF"/>
                <w:sz w:val="18"/>
              </w:rPr>
              <w:t>Project and role</w:t>
            </w:r>
          </w:p>
        </w:tc>
        <w:tc>
          <w:tcPr>
            <w:tcW w:type="dxa" w:w="3685"/>
            <w:shd w:val="clear" w:color="auto" w:fill="1A1A1A"/>
          </w:tcPr>
          <w:p>
            <w:pPr>
              <w:keepNext/>
            </w:pPr>
            <w:r/>
            <w:r>
              <w:rPr>
                <w:b/>
                <w:color w:val="FFFFFF"/>
                <w:sz w:val="18"/>
              </w:rPr>
              <w:t>Relevance</w:t>
            </w:r>
          </w:p>
        </w:tc>
        <w:tc>
          <w:tcPr>
            <w:tcW w:type="dxa" w:w="2551"/>
            <w:shd w:val="clear" w:color="auto" w:fill="1A1A1A"/>
          </w:tcPr>
          <w:p>
            <w:pPr>
              <w:keepNext/>
            </w:pPr>
            <w:r/>
            <w:r>
              <w:rPr>
                <w:b/>
                <w:color w:val="FFFFFF"/>
                <w:sz w:val="18"/>
              </w:rPr>
              <w:t>Contact</w:t>
            </w:r>
          </w:p>
        </w:tc>
      </w:tr>
      <w:tr>
        <w:trPr>
          <w:cantSplit/>
        </w:trPr>
        <w:tc>
          <w:tcPr>
            <w:tcW w:type="dxa" w:w="3402"/>
          </w:tcPr>
          <w:p>
            <w:pPr>
              <w:keepNext/>
              <w:spacing w:after="20"/>
            </w:pPr>
            <w:r/>
            <w:r>
              <w:rPr>
                <w:b w:val="0"/>
                <w:i w:val="0"/>
                <w:sz w:val="18"/>
              </w:rPr>
              <w:t>Langtree Consulting Engineers, Townsville, Civil Design Manager and Senior Engineer, 03/2025 to 05/2026. Managed four civil designers delivering concurrent 50 to 100 lot subdivisions, including DATSIP subdivisions in Aurukun, Pormpuraaw and Napranum.</w:t>
            </w:r>
          </w:p>
        </w:tc>
        <w:tc>
          <w:tcPr>
            <w:tcW w:type="dxa" w:w="3685"/>
          </w:tcPr>
          <w:p>
            <w:pPr>
              <w:keepNext/>
              <w:spacing w:after="20"/>
            </w:pPr>
            <w:r/>
            <w:r>
              <w:rPr>
                <w:b w:val="0"/>
                <w:i w:val="0"/>
                <w:sz w:val="18"/>
              </w:rPr>
              <w:t>Road, drainage and earthworks design; coordinated flood modelling, electrical and hydraulic sub-consultants into joint-discipline packages including bridge approaches, culverts and retaining walls; fee proposals, estimates and bills of quantities; chaired client and stakeholder meetings.</w:t>
            </w:r>
          </w:p>
        </w:tc>
        <w:tc>
          <w:tcPr>
            <w:tcW w:type="dxa" w:w="2551"/>
          </w:tcPr>
          <w:p>
            <w:pPr>
              <w:keepNext/>
              <w:spacing w:after="20"/>
            </w:pPr>
            <w:r/>
            <w:r>
              <w:rPr>
                <w:b w:val="0"/>
                <w:i w:val="0"/>
                <w:sz w:val="18"/>
              </w:rPr>
              <w:t>Brett Langtree, Director and Principal Civil Engineer, Langtree Consulting Engineers. 0400 699 979, brett@langtreeconsulting.com.au</w:t>
            </w:r>
          </w:p>
        </w:tc>
      </w:tr>
      <w:tr>
        <w:trPr>
          <w:cantSplit/>
        </w:trPr>
        <w:tc>
          <w:tcPr>
            <w:tcW w:type="dxa" w:w="3402"/>
          </w:tcPr>
          <w:p>
            <w:pPr>
              <w:keepNext/>
              <w:spacing w:after="20"/>
            </w:pPr>
            <w:r/>
            <w:r>
              <w:rPr>
                <w:b w:val="0"/>
                <w:i w:val="0"/>
                <w:sz w:val="18"/>
              </w:rPr>
              <w:t>SCP Consulting, Civil Engineer to Senior Engineer and Design Manager, 06/2023 to 03/2025. Defence projects at HMAS Watson, RAAF Base Tindal, RAAF Base Townsville and HMAS Cairns for Lendlease and CPB Contractors.</w:t>
            </w:r>
          </w:p>
        </w:tc>
        <w:tc>
          <w:tcPr>
            <w:tcW w:type="dxa" w:w="3685"/>
          </w:tcPr>
          <w:p>
            <w:pPr>
              <w:keepNext/>
              <w:spacing w:after="20"/>
            </w:pPr>
            <w:r/>
            <w:r>
              <w:rPr>
                <w:b w:val="0"/>
                <w:i w:val="0"/>
                <w:sz w:val="18"/>
              </w:rPr>
              <w:t>Construction phase design of road geometry, pavement sections, bulk earthworks and grading (HMAS Watson); design coordination, RFI management and sub-consultant review; site engineering on about 10 km of water mains at RAAF Base Townsville.</w:t>
            </w:r>
          </w:p>
        </w:tc>
        <w:tc>
          <w:tcPr>
            <w:tcW w:type="dxa" w:w="2551"/>
          </w:tcPr>
          <w:p>
            <w:pPr>
              <w:keepNext/>
              <w:spacing w:after="20"/>
            </w:pPr>
            <w:r/>
            <w:r>
              <w:rPr>
                <w:b w:val="0"/>
                <w:i w:val="0"/>
                <w:sz w:val="18"/>
              </w:rPr>
              <w:t>Livio Chiarot FIEAust, Director, SCP Consulting. 0418 150 028, livio.chiarot@scpconsult.com.au</w:t>
            </w:r>
          </w:p>
        </w:tc>
      </w:tr>
      <w:tr>
        <w:trPr>
          <w:cantSplit/>
        </w:trPr>
        <w:tc>
          <w:tcPr>
            <w:tcW w:type="dxa" w:w="3402"/>
          </w:tcPr>
          <w:p>
            <w:pPr>
              <w:keepNext/>
              <w:spacing w:after="20"/>
            </w:pPr>
            <w:r/>
            <w:r>
              <w:rPr>
                <w:b w:val="0"/>
                <w:i w:val="0"/>
                <w:sz w:val="18"/>
              </w:rPr>
              <w:t>Katherine Aquatics, Katherine NT (about $10 million design and construct for Sitzler and Katherine Town Council). About 80 per cent of the civil design.</w:t>
            </w:r>
          </w:p>
        </w:tc>
        <w:tc>
          <w:tcPr>
            <w:tcW w:type="dxa" w:w="3685"/>
          </w:tcPr>
          <w:p>
            <w:pPr>
              <w:keepNext/>
              <w:spacing w:after="20"/>
            </w:pPr>
            <w:r/>
            <w:r>
              <w:rPr>
                <w:b w:val="0"/>
                <w:i w:val="0"/>
                <w:sz w:val="18"/>
              </w:rPr>
              <w:t>Earthworks pads raised above the 1% AEP flood level, grading, pavements, stormwater and water quality for a council facility.</w:t>
            </w:r>
          </w:p>
        </w:tc>
        <w:tc>
          <w:tcPr>
            <w:tcW w:type="dxa" w:w="2551"/>
          </w:tcPr>
          <w:p>
            <w:pPr>
              <w:keepNext/>
              <w:spacing w:after="20"/>
            </w:pPr>
            <w:r/>
            <w:r>
              <w:rPr>
                <w:b w:val="0"/>
                <w:i w:val="0"/>
                <w:sz w:val="18"/>
              </w:rPr>
              <w:t>[TBC - Jayden: client contact name, position, phone, email]</w:t>
            </w:r>
          </w:p>
        </w:tc>
      </w:tr>
      <w:tr>
        <w:trPr>
          <w:cantSplit/>
        </w:trPr>
        <w:tc>
          <w:tcPr>
            <w:tcW w:type="dxa" w:w="3402"/>
          </w:tcPr>
          <w:p>
            <w:pPr>
              <w:spacing w:after="20"/>
            </w:pPr>
            <w:r/>
            <w:r>
              <w:rPr>
                <w:b w:val="0"/>
                <w:i w:val="0"/>
                <w:sz w:val="18"/>
              </w:rPr>
              <w:t>JCE, flood levee inspection and certification, 6887 Oxley Highway, Gunnedah NSW (2026). Earthen levee about 647 m long.</w:t>
            </w:r>
          </w:p>
        </w:tc>
        <w:tc>
          <w:tcPr>
            <w:tcW w:type="dxa" w:w="3685"/>
          </w:tcPr>
          <w:p>
            <w:pPr>
              <w:spacing w:after="20"/>
            </w:pPr>
            <w:r/>
            <w:r>
              <w:rPr>
                <w:b w:val="0"/>
                <w:i w:val="0"/>
                <w:sz w:val="18"/>
              </w:rPr>
              <w:t>Condition inspection, field dispersion and plasticity testing, and certification report JCE-INS-001 for a development application.</w:t>
            </w:r>
          </w:p>
        </w:tc>
        <w:tc>
          <w:tcPr>
            <w:tcW w:type="dxa" w:w="2551"/>
          </w:tcPr>
          <w:p>
            <w:pPr>
              <w:spacing w:after="20"/>
            </w:pPr>
            <w:r/>
            <w:r>
              <w:rPr>
                <w:b w:val="0"/>
                <w:i w:val="0"/>
                <w:sz w:val="18"/>
              </w:rPr>
              <w:t>[TBC - Jayden: client contact]</w:t>
            </w:r>
          </w:p>
        </w:tc>
      </w:tr>
    </w:tbl>
    <w:p>
      <w:pPr>
        <w:spacing w:after="40"/>
      </w:pPr>
    </w:p>
    <w:p>
      <w:r>
        <w:rPr>
          <w:b w:val="0"/>
          <w:i w:val="0"/>
        </w:rPr>
        <w:t>The JCE Capability Statement (Councils) is in Attachment C.</w:t>
      </w:r>
    </w:p>
    <w:p>
      <w:pPr>
        <w:pStyle w:val="Heading1"/>
      </w:pPr>
      <w:r>
        <w:t>6.0   Information and resources expected from Council</w:t>
      </w:r>
    </w:p>
    <w:p>
      <w:pPr>
        <w:pStyle w:val="ListBullet"/>
      </w:pPr>
      <w:r>
        <w:rPr>
          <w:b w:val="0"/>
          <w:i w:val="0"/>
        </w:rPr>
        <w:t>DIT's current Adelaide Road / Hawthorn Road intersection design (CAD) and a DIT contact for coordination</w:t>
      </w:r>
    </w:p>
    <w:p>
      <w:pPr>
        <w:pStyle w:val="ListBullet"/>
      </w:pPr>
      <w:r>
        <w:rPr>
          <w:b w:val="0"/>
          <w:i w:val="0"/>
        </w:rPr>
        <w:t>The approved CHR design for the #73 Hawthorn Road access; the Bollen Road closure design; the link road and roundabout option designs</w:t>
      </w:r>
    </w:p>
    <w:p>
      <w:pPr>
        <w:pStyle w:val="ListBullet"/>
      </w:pPr>
      <w:r>
        <w:rPr>
          <w:b w:val="0"/>
          <w:i w:val="0"/>
        </w:rPr>
        <w:t>Council CWMS and stormwater layout plans, asset and pavement data, and any previous flood or drainage studies</w:t>
      </w:r>
    </w:p>
    <w:p>
      <w:pPr>
        <w:pStyle w:val="ListBullet"/>
      </w:pPr>
      <w:r>
        <w:rPr>
          <w:b w:val="0"/>
          <w:i w:val="0"/>
        </w:rPr>
        <w:t>AADT and turning movement counts for the pavement design and SIDRA modelling, and crash history</w:t>
      </w:r>
    </w:p>
    <w:p>
      <w:pPr>
        <w:pStyle w:val="ListBullet"/>
      </w:pPr>
      <w:r>
        <w:rPr>
          <w:b w:val="0"/>
          <w:i w:val="0"/>
        </w:rPr>
        <w:t>Development plans and approvals for #16, #73, #78, #147, #160 and #239 Hawthorn Road</w:t>
      </w:r>
    </w:p>
    <w:p>
      <w:pPr>
        <w:pStyle w:val="ListBullet"/>
      </w:pPr>
      <w:r>
        <w:rPr>
          <w:b w:val="0"/>
          <w:i w:val="0"/>
        </w:rPr>
        <w:t>Council's comments register template, engineering standards and streetscape and landscape requirements</w:t>
      </w:r>
    </w:p>
    <w:p>
      <w:pPr>
        <w:pStyle w:val="ListBullet"/>
      </w:pPr>
      <w:r>
        <w:rPr>
          <w:b w:val="0"/>
          <w:i w:val="0"/>
        </w:rPr>
        <w:t>Access to Council's arborist, and notice to residents before field work</w:t>
      </w:r>
    </w:p>
    <w:p>
      <w:pPr>
        <w:pStyle w:val="Heading1"/>
      </w:pPr>
      <w:r>
        <w:t>7.0   Exclusions and assumptions</w:t>
      </w:r>
    </w:p>
    <w:p>
      <w:pPr>
        <w:keepNext/>
      </w:pPr>
      <w:r>
        <w:rPr>
          <w:b w:val="0"/>
          <w:i w:val="0"/>
        </w:rPr>
        <w:t>The following are excluded unless Council adds them in writing:</w:t>
      </w:r>
    </w:p>
    <w:p>
      <w:pPr>
        <w:pStyle w:val="ListBullet"/>
      </w:pPr>
      <w:r>
        <w:rPr>
          <w:b w:val="0"/>
          <w:i w:val="0"/>
        </w:rPr>
        <w:t>Design of the Adelaide Road intersection, the link road intersection and roundabout, and the Bollen Road closure (tie-ins only)</w:t>
      </w:r>
    </w:p>
    <w:p>
      <w:pPr>
        <w:pStyle w:val="ListBullet"/>
      </w:pPr>
      <w:r>
        <w:rPr>
          <w:b w:val="0"/>
          <w:i w:val="0"/>
        </w:rPr>
        <w:t>Community engagement (Brief section 8)</w:t>
      </w:r>
    </w:p>
    <w:p>
      <w:pPr>
        <w:pStyle w:val="ListBullet"/>
      </w:pPr>
      <w:r>
        <w:rPr>
          <w:b w:val="0"/>
          <w:i w:val="0"/>
        </w:rPr>
        <w:t>Potholing, non-destructive digging and detailed design (Separable Portions 2 and 3)</w:t>
      </w:r>
    </w:p>
    <w:p>
      <w:pPr>
        <w:pStyle w:val="ListBullet"/>
      </w:pPr>
      <w:r>
        <w:rPr>
          <w:b w:val="0"/>
          <w:i w:val="0"/>
        </w:rPr>
        <w:t>Development or planning approvals, native vegetation clearance applications, and land acquisition negotiations or valuations</w:t>
      </w:r>
    </w:p>
    <w:p>
      <w:pPr>
        <w:pStyle w:val="ListBullet"/>
      </w:pPr>
      <w:r>
        <w:rPr>
          <w:b w:val="0"/>
          <w:i w:val="0"/>
        </w:rPr>
        <w:t>Quantity surveyor estimates in Separable Portion 1 (JCE prepares the concept estimate)</w:t>
      </w:r>
    </w:p>
    <w:p>
      <w:pPr>
        <w:pStyle w:val="ListBullet"/>
      </w:pPr>
      <w:r>
        <w:rPr>
          <w:b w:val="0"/>
          <w:i w:val="0"/>
        </w:rPr>
        <w:t>Contamination, ecology, cultural heritage and acoustic assessments</w:t>
      </w:r>
    </w:p>
    <w:p>
      <w:pPr>
        <w:pStyle w:val="ListBullet"/>
      </w:pPr>
      <w:r>
        <w:rPr>
          <w:b w:val="0"/>
          <w:i w:val="0"/>
        </w:rPr>
        <w:t>Traffic counts beyond the data Council provides</w:t>
      </w:r>
    </w:p>
    <w:p>
      <w:pPr>
        <w:keepNext/>
      </w:pPr>
      <w:r>
        <w:rPr>
          <w:b w:val="0"/>
          <w:i w:val="0"/>
        </w:rPr>
        <w:t>Assumptions:</w:t>
      </w:r>
    </w:p>
    <w:p>
      <w:pPr>
        <w:pStyle w:val="ListBullet"/>
      </w:pPr>
      <w:r>
        <w:rPr>
          <w:b w:val="0"/>
          <w:i w:val="0"/>
        </w:rPr>
        <w:t>About 3 km of Hawthorn Road, with side-road tie-ins of up to 50 m</w:t>
      </w:r>
    </w:p>
    <w:p>
      <w:pPr>
        <w:pStyle w:val="ListBullet"/>
      </w:pPr>
      <w:r>
        <w:rPr>
          <w:b w:val="0"/>
          <w:i w:val="0"/>
        </w:rPr>
        <w:t>Up to four existing culvert crossings; the preliminary flood assessment uses 1D or 2D modelling of the creek crossings and is not a catchment-wide flood study</w:t>
      </w:r>
    </w:p>
    <w:p>
      <w:pPr>
        <w:pStyle w:val="ListBullet"/>
      </w:pPr>
      <w:r>
        <w:rPr>
          <w:b w:val="0"/>
          <w:i w:val="0"/>
        </w:rPr>
        <w:t>Services located to Quality Level B; about 15 geotechnical test locations; SIDRA modelling of up to five intersections</w:t>
      </w:r>
    </w:p>
    <w:p>
      <w:pPr>
        <w:pStyle w:val="ListBullet"/>
      </w:pPr>
      <w:r>
        <w:rPr>
          <w:b w:val="0"/>
          <w:i w:val="0"/>
        </w:rPr>
        <w:t>Two concept options for each decision point taken through the multi-criteria assessment</w:t>
      </w:r>
    </w:p>
    <w:p>
      <w:pPr>
        <w:pStyle w:val="ListBullet"/>
      </w:pPr>
      <w:r>
        <w:rPr>
          <w:b w:val="0"/>
          <w:i w:val="0"/>
        </w:rPr>
        <w:t>Two road safety audits (preliminary 30% and final concept) and two rounds of Council comments</w:t>
      </w:r>
    </w:p>
    <w:p>
      <w:pPr>
        <w:pStyle w:val="ListBullet"/>
      </w:pPr>
      <w:r>
        <w:rPr>
          <w:b w:val="0"/>
          <w:i w:val="0"/>
        </w:rPr>
        <w:t>Three workshops (10%, preliminary 30% and final) and monthly progress meetings, online except the start-up and one workshop</w:t>
      </w:r>
    </w:p>
    <w:p>
      <w:pPr>
        <w:pStyle w:val="Heading1"/>
      </w:pPr>
      <w:r>
        <w:t>8.0   Fee schedule</w:t>
      </w:r>
    </w:p>
    <w:p>
      <w:pPr>
        <w:pStyle w:val="Heading2"/>
      </w:pPr>
      <w:r>
        <w:t>8.1   Lump sum for the 30% concept design (Separable Portion 1)</w:t>
      </w:r>
    </w:p>
    <w:p>
      <w:pPr>
        <w:keepNext/>
      </w:pPr>
      <w:r>
        <w:rPr>
          <w:b w:val="0"/>
          <w:i w:val="0"/>
        </w:rPr>
        <w:t>JCE offers to deliver Separable Portion 1 for a fixed lump sum, excluding GST and not subject to rise and fall (Agreement Item 3):</w:t>
      </w:r>
    </w:p>
    <w:tbl>
      <w:tblPr>
        <w:tblStyle w:val="TableGrid"/>
        <w:tblW w:type="auto" w:w="0"/>
        <w:jc w:val="center"/>
        <w:tblLayout w:type="fixed"/>
        <w:tblLook w:firstColumn="1" w:firstRow="1" w:lastColumn="0" w:lastRow="0" w:noHBand="0" w:noVBand="1" w:val="04A0"/>
      </w:tblPr>
      <w:tblGrid>
        <w:gridCol w:w="1360"/>
        <w:gridCol w:w="6010"/>
        <w:gridCol w:w="2268"/>
      </w:tblGrid>
      <w:tr>
        <w:trPr>
          <w:tblHeader/>
          <w:cantSplit/>
        </w:trPr>
        <w:tc>
          <w:tcPr>
            <w:tcW w:type="dxa" w:w="1361"/>
            <w:shd w:val="clear" w:color="auto" w:fill="1A1A1A"/>
          </w:tcPr>
          <w:p>
            <w:pPr>
              <w:keepNext/>
            </w:pPr>
            <w:r/>
            <w:r>
              <w:rPr>
                <w:b/>
                <w:color w:val="FFFFFF"/>
                <w:sz w:val="18"/>
              </w:rPr>
              <w:t>Stage</w:t>
            </w:r>
          </w:p>
        </w:tc>
        <w:tc>
          <w:tcPr>
            <w:tcW w:type="dxa" w:w="6009"/>
            <w:shd w:val="clear" w:color="auto" w:fill="1A1A1A"/>
          </w:tcPr>
          <w:p>
            <w:pPr>
              <w:keepNext/>
            </w:pPr>
            <w:r/>
            <w:r>
              <w:rPr>
                <w:b/>
                <w:color w:val="FFFFFF"/>
                <w:sz w:val="18"/>
              </w:rPr>
              <w:t>Description</w:t>
            </w:r>
          </w:p>
        </w:tc>
        <w:tc>
          <w:tcPr>
            <w:tcW w:type="dxa" w:w="2268"/>
            <w:shd w:val="clear" w:color="auto" w:fill="1A1A1A"/>
          </w:tcPr>
          <w:p>
            <w:pPr>
              <w:keepNext/>
            </w:pPr>
            <w:r/>
            <w:r>
              <w:rPr>
                <w:b/>
                <w:color w:val="FFFFFF"/>
                <w:sz w:val="18"/>
              </w:rPr>
              <w:t>Fee (excl. GST)</w:t>
            </w:r>
          </w:p>
        </w:tc>
      </w:tr>
      <w:tr>
        <w:trPr>
          <w:cantSplit/>
        </w:trPr>
        <w:tc>
          <w:tcPr>
            <w:tcW w:type="dxa" w:w="1361"/>
          </w:tcPr>
          <w:p>
            <w:pPr>
              <w:keepNext/>
              <w:spacing w:after="20"/>
            </w:pPr>
            <w:r/>
            <w:r>
              <w:rPr>
                <w:b w:val="0"/>
                <w:i w:val="0"/>
                <w:sz w:val="18"/>
              </w:rPr>
              <w:t>Stage 1</w:t>
            </w:r>
          </w:p>
        </w:tc>
        <w:tc>
          <w:tcPr>
            <w:tcW w:type="dxa" w:w="6009"/>
          </w:tcPr>
          <w:p>
            <w:pPr>
              <w:keepNext/>
              <w:spacing w:after="20"/>
            </w:pPr>
            <w:r/>
            <w:r>
              <w:rPr>
                <w:b w:val="0"/>
                <w:i w:val="0"/>
                <w:sz w:val="18"/>
              </w:rPr>
              <w:t>Start-up, site appraisal, engineering survey and Concept Design Basis Report</w:t>
            </w:r>
          </w:p>
        </w:tc>
        <w:tc>
          <w:tcPr>
            <w:tcW w:type="dxa" w:w="2268"/>
          </w:tcPr>
          <w:p>
            <w:pPr>
              <w:keepNext/>
              <w:spacing w:after="20"/>
              <w:jc w:val="right"/>
            </w:pPr>
            <w:r/>
            <w:r>
              <w:rPr>
                <w:b w:val="0"/>
                <w:i w:val="0"/>
                <w:sz w:val="18"/>
              </w:rPr>
              <w:t>$64,020</w:t>
            </w:r>
          </w:p>
        </w:tc>
      </w:tr>
      <w:tr>
        <w:trPr>
          <w:cantSplit/>
        </w:trPr>
        <w:tc>
          <w:tcPr>
            <w:tcW w:type="dxa" w:w="1361"/>
          </w:tcPr>
          <w:p>
            <w:pPr>
              <w:keepNext/>
              <w:spacing w:after="20"/>
            </w:pPr>
            <w:r/>
            <w:r>
              <w:rPr>
                <w:b w:val="0"/>
                <w:i w:val="0"/>
                <w:sz w:val="18"/>
              </w:rPr>
              <w:t>Stage 2</w:t>
            </w:r>
          </w:p>
        </w:tc>
        <w:tc>
          <w:tcPr>
            <w:tcW w:type="dxa" w:w="6009"/>
          </w:tcPr>
          <w:p>
            <w:pPr>
              <w:keepNext/>
              <w:spacing w:after="20"/>
            </w:pPr>
            <w:r/>
            <w:r>
              <w:rPr>
                <w:b w:val="0"/>
                <w:i w:val="0"/>
                <w:sz w:val="18"/>
              </w:rPr>
              <w:t>Investigations, options and preliminary 30% concept design</w:t>
            </w:r>
          </w:p>
        </w:tc>
        <w:tc>
          <w:tcPr>
            <w:tcW w:type="dxa" w:w="2268"/>
          </w:tcPr>
          <w:p>
            <w:pPr>
              <w:keepNext/>
              <w:spacing w:after="20"/>
              <w:jc w:val="right"/>
            </w:pPr>
            <w:r/>
            <w:r>
              <w:rPr>
                <w:b w:val="0"/>
                <w:i w:val="0"/>
                <w:sz w:val="18"/>
              </w:rPr>
              <w:t>$135,940</w:t>
            </w:r>
          </w:p>
        </w:tc>
      </w:tr>
      <w:tr>
        <w:trPr>
          <w:cantSplit/>
        </w:trPr>
        <w:tc>
          <w:tcPr>
            <w:tcW w:type="dxa" w:w="1361"/>
          </w:tcPr>
          <w:p>
            <w:pPr>
              <w:keepNext/>
              <w:spacing w:after="20"/>
            </w:pPr>
            <w:r/>
            <w:r>
              <w:rPr>
                <w:b w:val="0"/>
                <w:i w:val="0"/>
                <w:sz w:val="18"/>
              </w:rPr>
              <w:t>Stage 3</w:t>
            </w:r>
          </w:p>
        </w:tc>
        <w:tc>
          <w:tcPr>
            <w:tcW w:type="dxa" w:w="6009"/>
          </w:tcPr>
          <w:p>
            <w:pPr>
              <w:keepNext/>
              <w:spacing w:after="20"/>
            </w:pPr>
            <w:r/>
            <w:r>
              <w:rPr>
                <w:b w:val="0"/>
                <w:i w:val="0"/>
                <w:sz w:val="18"/>
              </w:rPr>
              <w:t>Final concept design, reports, plans and cost estimate</w:t>
            </w:r>
          </w:p>
        </w:tc>
        <w:tc>
          <w:tcPr>
            <w:tcW w:type="dxa" w:w="2268"/>
          </w:tcPr>
          <w:p>
            <w:pPr>
              <w:keepNext/>
              <w:spacing w:after="20"/>
              <w:jc w:val="right"/>
            </w:pPr>
            <w:r/>
            <w:r>
              <w:rPr>
                <w:b w:val="0"/>
                <w:i w:val="0"/>
                <w:sz w:val="18"/>
              </w:rPr>
              <w:t>$58,500</w:t>
            </w:r>
          </w:p>
        </w:tc>
      </w:tr>
      <w:tr>
        <w:trPr>
          <w:cantSplit/>
        </w:trPr>
        <w:tc>
          <w:tcPr>
            <w:tcW w:type="dxa" w:w="1361"/>
            <w:shd w:val="clear" w:color="auto" w:fill="F3E9C6"/>
          </w:tcPr>
          <w:p>
            <w:pPr>
              <w:keepNext/>
              <w:spacing w:after="20"/>
            </w:pPr>
            <w:r/>
          </w:p>
        </w:tc>
        <w:tc>
          <w:tcPr>
            <w:tcW w:type="dxa" w:w="6009"/>
            <w:shd w:val="clear" w:color="auto" w:fill="F3E9C6"/>
          </w:tcPr>
          <w:p>
            <w:pPr>
              <w:keepNext/>
              <w:spacing w:after="20"/>
            </w:pPr>
            <w:r/>
            <w:r>
              <w:rPr>
                <w:b/>
                <w:i w:val="0"/>
                <w:sz w:val="18"/>
              </w:rPr>
              <w:t>Total lump sum (excl. GST)</w:t>
            </w:r>
          </w:p>
        </w:tc>
        <w:tc>
          <w:tcPr>
            <w:tcW w:type="dxa" w:w="2268"/>
            <w:shd w:val="clear" w:color="auto" w:fill="F3E9C6"/>
          </w:tcPr>
          <w:p>
            <w:pPr>
              <w:keepNext/>
              <w:spacing w:after="20"/>
              <w:jc w:val="right"/>
            </w:pPr>
            <w:r/>
            <w:r>
              <w:rPr>
                <w:b/>
                <w:i w:val="0"/>
                <w:sz w:val="18"/>
              </w:rPr>
              <w:t>$258,460</w:t>
            </w:r>
          </w:p>
        </w:tc>
      </w:tr>
      <w:tr>
        <w:trPr>
          <w:cantSplit/>
        </w:trPr>
        <w:tc>
          <w:tcPr>
            <w:tcW w:type="dxa" w:w="1361"/>
          </w:tcPr>
          <w:p>
            <w:pPr>
              <w:keepNext/>
              <w:spacing w:after="20"/>
            </w:pPr>
            <w:r/>
          </w:p>
        </w:tc>
        <w:tc>
          <w:tcPr>
            <w:tcW w:type="dxa" w:w="6009"/>
          </w:tcPr>
          <w:p>
            <w:pPr>
              <w:keepNext/>
              <w:spacing w:after="20"/>
            </w:pPr>
            <w:r/>
            <w:r>
              <w:rPr>
                <w:b w:val="0"/>
                <w:i w:val="0"/>
                <w:sz w:val="18"/>
              </w:rPr>
              <w:t>GST (10%)</w:t>
            </w:r>
          </w:p>
        </w:tc>
        <w:tc>
          <w:tcPr>
            <w:tcW w:type="dxa" w:w="2268"/>
          </w:tcPr>
          <w:p>
            <w:pPr>
              <w:keepNext/>
              <w:spacing w:after="20"/>
              <w:jc w:val="right"/>
            </w:pPr>
            <w:r/>
            <w:r>
              <w:rPr>
                <w:b w:val="0"/>
                <w:i w:val="0"/>
                <w:sz w:val="18"/>
              </w:rPr>
              <w:t>$25,846</w:t>
            </w:r>
          </w:p>
        </w:tc>
      </w:tr>
      <w:tr>
        <w:trPr>
          <w:cantSplit/>
        </w:trPr>
        <w:tc>
          <w:tcPr>
            <w:tcW w:type="dxa" w:w="1361"/>
            <w:shd w:val="clear" w:color="auto" w:fill="F3E9C6"/>
          </w:tcPr>
          <w:p>
            <w:pPr>
              <w:spacing w:after="20"/>
            </w:pPr>
            <w:r/>
          </w:p>
        </w:tc>
        <w:tc>
          <w:tcPr>
            <w:tcW w:type="dxa" w:w="6009"/>
            <w:shd w:val="clear" w:color="auto" w:fill="F3E9C6"/>
          </w:tcPr>
          <w:p>
            <w:pPr>
              <w:spacing w:after="20"/>
            </w:pPr>
            <w:r/>
            <w:r>
              <w:rPr>
                <w:b/>
                <w:i w:val="0"/>
                <w:sz w:val="18"/>
              </w:rPr>
              <w:t>Total lump sum (incl. GST)</w:t>
            </w:r>
          </w:p>
        </w:tc>
        <w:tc>
          <w:tcPr>
            <w:tcW w:type="dxa" w:w="2268"/>
            <w:shd w:val="clear" w:color="auto" w:fill="F3E9C6"/>
          </w:tcPr>
          <w:p>
            <w:pPr>
              <w:spacing w:after="20"/>
              <w:jc w:val="right"/>
            </w:pPr>
            <w:r/>
            <w:r>
              <w:rPr>
                <w:b/>
                <w:i w:val="0"/>
                <w:sz w:val="18"/>
              </w:rPr>
              <w:t>$284,306</w:t>
            </w:r>
          </w:p>
        </w:tc>
      </w:tr>
    </w:tbl>
    <w:p>
      <w:pPr>
        <w:spacing w:after="40"/>
      </w:pPr>
    </w:p>
    <w:p>
      <w:pPr>
        <w:pStyle w:val="Heading2"/>
      </w:pPr>
      <w:r>
        <w:t>8.2   Breakdown by component (Brief 9 f)</w:t>
      </w:r>
    </w:p>
    <w:tbl>
      <w:tblPr>
        <w:tblStyle w:val="TableGrid"/>
        <w:tblW w:type="auto" w:w="0"/>
        <w:jc w:val="center"/>
        <w:tblLayout w:type="fixed"/>
        <w:tblLook w:firstColumn="1" w:firstRow="1" w:lastColumn="0" w:lastRow="0" w:noHBand="0" w:noVBand="1" w:val="04A0"/>
      </w:tblPr>
      <w:tblGrid>
        <w:gridCol w:w="5216"/>
        <w:gridCol w:w="2268"/>
        <w:gridCol w:w="2154"/>
      </w:tblGrid>
      <w:tr>
        <w:trPr>
          <w:tblHeader/>
          <w:cantSplit/>
        </w:trPr>
        <w:tc>
          <w:tcPr>
            <w:tcW w:type="dxa" w:w="5216"/>
            <w:shd w:val="clear" w:color="auto" w:fill="1A1A1A"/>
          </w:tcPr>
          <w:p>
            <w:r/>
            <w:r>
              <w:rPr>
                <w:b/>
                <w:color w:val="FFFFFF"/>
                <w:sz w:val="18"/>
              </w:rPr>
              <w:t>Component</w:t>
            </w:r>
          </w:p>
        </w:tc>
        <w:tc>
          <w:tcPr>
            <w:tcW w:type="dxa" w:w="2268"/>
            <w:shd w:val="clear" w:color="auto" w:fill="1A1A1A"/>
          </w:tcPr>
          <w:p>
            <w:r/>
            <w:r>
              <w:rPr>
                <w:b/>
                <w:color w:val="FFFFFF"/>
                <w:sz w:val="18"/>
              </w:rPr>
              <w:t>Basis</w:t>
            </w:r>
          </w:p>
        </w:tc>
        <w:tc>
          <w:tcPr>
            <w:tcW w:type="dxa" w:w="2154"/>
            <w:shd w:val="clear" w:color="auto" w:fill="1A1A1A"/>
          </w:tcPr>
          <w:p>
            <w:r/>
            <w:r>
              <w:rPr>
                <w:b/>
                <w:color w:val="FFFFFF"/>
                <w:sz w:val="18"/>
              </w:rPr>
              <w:t>Fee (excl. GST)</w:t>
            </w:r>
          </w:p>
        </w:tc>
      </w:tr>
      <w:tr>
        <w:trPr>
          <w:cantSplit/>
        </w:trPr>
        <w:tc>
          <w:tcPr>
            <w:tcW w:type="dxa" w:w="5216"/>
          </w:tcPr>
          <w:p>
            <w:pPr>
              <w:spacing w:after="20"/>
            </w:pPr>
            <w:r/>
            <w:r>
              <w:rPr>
                <w:b w:val="0"/>
                <w:i w:val="0"/>
                <w:sz w:val="18"/>
              </w:rPr>
              <w:t>JCE: project management, Council liaison and workshops</w:t>
            </w:r>
          </w:p>
        </w:tc>
        <w:tc>
          <w:tcPr>
            <w:tcW w:type="dxa" w:w="2268"/>
          </w:tcPr>
          <w:p>
            <w:pPr>
              <w:spacing w:after="20"/>
            </w:pPr>
            <w:r/>
            <w:r>
              <w:rPr>
                <w:b w:val="0"/>
                <w:i w:val="0"/>
                <w:sz w:val="18"/>
              </w:rPr>
              <w:t>98 hours</w:t>
            </w:r>
          </w:p>
        </w:tc>
        <w:tc>
          <w:tcPr>
            <w:tcW w:type="dxa" w:w="2154"/>
          </w:tcPr>
          <w:p>
            <w:pPr>
              <w:spacing w:after="20"/>
              <w:jc w:val="right"/>
            </w:pPr>
            <w:r/>
            <w:r>
              <w:rPr>
                <w:b w:val="0"/>
                <w:i w:val="0"/>
                <w:sz w:val="18"/>
              </w:rPr>
              <w:t>$18,732</w:t>
            </w:r>
          </w:p>
        </w:tc>
      </w:tr>
      <w:tr>
        <w:trPr>
          <w:cantSplit/>
        </w:trPr>
        <w:tc>
          <w:tcPr>
            <w:tcW w:type="dxa" w:w="5216"/>
          </w:tcPr>
          <w:p>
            <w:pPr>
              <w:spacing w:after="20"/>
            </w:pPr>
            <w:r/>
            <w:r>
              <w:rPr>
                <w:b w:val="0"/>
                <w:i w:val="0"/>
                <w:sz w:val="18"/>
              </w:rPr>
              <w:t>JCE: site appraisal, data review, services and Concept Design Basis Report</w:t>
            </w:r>
          </w:p>
        </w:tc>
        <w:tc>
          <w:tcPr>
            <w:tcW w:type="dxa" w:w="2268"/>
          </w:tcPr>
          <w:p>
            <w:pPr>
              <w:spacing w:after="20"/>
            </w:pPr>
            <w:r/>
            <w:r>
              <w:rPr>
                <w:b w:val="0"/>
                <w:i w:val="0"/>
                <w:sz w:val="18"/>
              </w:rPr>
              <w:t>72 hours</w:t>
            </w:r>
          </w:p>
        </w:tc>
        <w:tc>
          <w:tcPr>
            <w:tcW w:type="dxa" w:w="2154"/>
          </w:tcPr>
          <w:p>
            <w:pPr>
              <w:spacing w:after="20"/>
              <w:jc w:val="right"/>
            </w:pPr>
            <w:r/>
            <w:r>
              <w:rPr>
                <w:b w:val="0"/>
                <w:i w:val="0"/>
                <w:sz w:val="18"/>
              </w:rPr>
              <w:t>$13,797</w:t>
            </w:r>
          </w:p>
        </w:tc>
      </w:tr>
      <w:tr>
        <w:trPr>
          <w:cantSplit/>
        </w:trPr>
        <w:tc>
          <w:tcPr>
            <w:tcW w:type="dxa" w:w="5216"/>
          </w:tcPr>
          <w:p>
            <w:pPr>
              <w:spacing w:after="20"/>
            </w:pPr>
            <w:r/>
            <w:r>
              <w:rPr>
                <w:b w:val="0"/>
                <w:i w:val="0"/>
                <w:sz w:val="18"/>
              </w:rPr>
              <w:t>JCE: hydrology, flood assessment, culverts and drainage strategy</w:t>
            </w:r>
          </w:p>
        </w:tc>
        <w:tc>
          <w:tcPr>
            <w:tcW w:type="dxa" w:w="2268"/>
          </w:tcPr>
          <w:p>
            <w:pPr>
              <w:spacing w:after="20"/>
            </w:pPr>
            <w:r/>
            <w:r>
              <w:rPr>
                <w:b w:val="0"/>
                <w:i w:val="0"/>
                <w:sz w:val="18"/>
              </w:rPr>
              <w:t>101.5 hours</w:t>
            </w:r>
          </w:p>
        </w:tc>
        <w:tc>
          <w:tcPr>
            <w:tcW w:type="dxa" w:w="2154"/>
          </w:tcPr>
          <w:p>
            <w:pPr>
              <w:spacing w:after="20"/>
              <w:jc w:val="right"/>
            </w:pPr>
            <w:r/>
            <w:r>
              <w:rPr>
                <w:b w:val="0"/>
                <w:i w:val="0"/>
                <w:sz w:val="18"/>
              </w:rPr>
              <w:t>$18,690</w:t>
            </w:r>
          </w:p>
        </w:tc>
      </w:tr>
      <w:tr>
        <w:trPr>
          <w:cantSplit/>
        </w:trPr>
        <w:tc>
          <w:tcPr>
            <w:tcW w:type="dxa" w:w="5216"/>
          </w:tcPr>
          <w:p>
            <w:pPr>
              <w:spacing w:after="20"/>
            </w:pPr>
            <w:r/>
            <w:r>
              <w:rPr>
                <w:b w:val="0"/>
                <w:i w:val="0"/>
                <w:sz w:val="18"/>
              </w:rPr>
              <w:t>JCE: options, road, intersection and path design</w:t>
            </w:r>
          </w:p>
        </w:tc>
        <w:tc>
          <w:tcPr>
            <w:tcW w:type="dxa" w:w="2268"/>
          </w:tcPr>
          <w:p>
            <w:pPr>
              <w:spacing w:after="20"/>
            </w:pPr>
            <w:r/>
            <w:r>
              <w:rPr>
                <w:b w:val="0"/>
                <w:i w:val="0"/>
                <w:sz w:val="18"/>
              </w:rPr>
              <w:t>254 hours</w:t>
            </w:r>
          </w:p>
        </w:tc>
        <w:tc>
          <w:tcPr>
            <w:tcW w:type="dxa" w:w="2154"/>
          </w:tcPr>
          <w:p>
            <w:pPr>
              <w:spacing w:after="20"/>
              <w:jc w:val="right"/>
            </w:pPr>
            <w:r/>
            <w:r>
              <w:rPr>
                <w:b w:val="0"/>
                <w:i w:val="0"/>
                <w:sz w:val="18"/>
              </w:rPr>
              <w:t>$44,877</w:t>
            </w:r>
          </w:p>
        </w:tc>
      </w:tr>
      <w:tr>
        <w:trPr>
          <w:cantSplit/>
        </w:trPr>
        <w:tc>
          <w:tcPr>
            <w:tcW w:type="dxa" w:w="5216"/>
          </w:tcPr>
          <w:p>
            <w:pPr>
              <w:spacing w:after="20"/>
            </w:pPr>
            <w:r/>
            <w:r>
              <w:rPr>
                <w:b w:val="0"/>
                <w:i w:val="0"/>
                <w:sz w:val="18"/>
              </w:rPr>
              <w:t>JCE: traffic control plan, land acquisition and staging plans</w:t>
            </w:r>
          </w:p>
        </w:tc>
        <w:tc>
          <w:tcPr>
            <w:tcW w:type="dxa" w:w="2268"/>
          </w:tcPr>
          <w:p>
            <w:pPr>
              <w:spacing w:after="20"/>
            </w:pPr>
            <w:r/>
            <w:r>
              <w:rPr>
                <w:b w:val="0"/>
                <w:i w:val="0"/>
                <w:sz w:val="18"/>
              </w:rPr>
              <w:t>73 hours</w:t>
            </w:r>
          </w:p>
        </w:tc>
        <w:tc>
          <w:tcPr>
            <w:tcW w:type="dxa" w:w="2154"/>
          </w:tcPr>
          <w:p>
            <w:pPr>
              <w:spacing w:after="20"/>
              <w:jc w:val="right"/>
            </w:pPr>
            <w:r/>
            <w:r>
              <w:rPr>
                <w:b w:val="0"/>
                <w:i w:val="0"/>
                <w:sz w:val="18"/>
              </w:rPr>
              <w:t>$12,894</w:t>
            </w:r>
          </w:p>
        </w:tc>
      </w:tr>
      <w:tr>
        <w:trPr>
          <w:cantSplit/>
        </w:trPr>
        <w:tc>
          <w:tcPr>
            <w:tcW w:type="dxa" w:w="5216"/>
          </w:tcPr>
          <w:p>
            <w:pPr>
              <w:spacing w:after="20"/>
            </w:pPr>
            <w:r/>
            <w:r>
              <w:rPr>
                <w:b w:val="0"/>
                <w:i w:val="0"/>
                <w:sz w:val="18"/>
              </w:rPr>
              <w:t>JCE: reports, cost estimate, Safety in Design and verification</w:t>
            </w:r>
          </w:p>
        </w:tc>
        <w:tc>
          <w:tcPr>
            <w:tcW w:type="dxa" w:w="2268"/>
          </w:tcPr>
          <w:p>
            <w:pPr>
              <w:spacing w:after="20"/>
            </w:pPr>
            <w:r/>
            <w:r>
              <w:rPr>
                <w:b w:val="0"/>
                <w:i w:val="0"/>
                <w:sz w:val="18"/>
              </w:rPr>
              <w:t>130 hours</w:t>
            </w:r>
          </w:p>
        </w:tc>
        <w:tc>
          <w:tcPr>
            <w:tcW w:type="dxa" w:w="2154"/>
          </w:tcPr>
          <w:p>
            <w:pPr>
              <w:spacing w:after="20"/>
              <w:jc w:val="right"/>
            </w:pPr>
            <w:r/>
            <w:r>
              <w:rPr>
                <w:b w:val="0"/>
                <w:i w:val="0"/>
                <w:sz w:val="18"/>
              </w:rPr>
              <w:t>$25,284</w:t>
            </w:r>
          </w:p>
        </w:tc>
      </w:tr>
      <w:tr>
        <w:trPr>
          <w:cantSplit/>
        </w:trPr>
        <w:tc>
          <w:tcPr>
            <w:tcW w:type="dxa" w:w="5216"/>
          </w:tcPr>
          <w:p>
            <w:pPr>
              <w:spacing w:after="20"/>
            </w:pPr>
            <w:r/>
            <w:r>
              <w:rPr>
                <w:b w:val="0"/>
                <w:i w:val="0"/>
                <w:sz w:val="18"/>
              </w:rPr>
              <w:t>JCE: lighting, tree and interface coordination</w:t>
            </w:r>
          </w:p>
        </w:tc>
        <w:tc>
          <w:tcPr>
            <w:tcW w:type="dxa" w:w="2268"/>
          </w:tcPr>
          <w:p>
            <w:pPr>
              <w:spacing w:after="20"/>
            </w:pPr>
            <w:r/>
            <w:r>
              <w:rPr>
                <w:b w:val="0"/>
                <w:i w:val="0"/>
                <w:sz w:val="18"/>
              </w:rPr>
              <w:t>32 hours</w:t>
            </w:r>
          </w:p>
        </w:tc>
        <w:tc>
          <w:tcPr>
            <w:tcW w:type="dxa" w:w="2154"/>
          </w:tcPr>
          <w:p>
            <w:pPr>
              <w:spacing w:after="20"/>
              <w:jc w:val="right"/>
            </w:pPr>
            <w:r/>
            <w:r>
              <w:rPr>
                <w:b w:val="0"/>
                <w:i w:val="0"/>
                <w:sz w:val="18"/>
              </w:rPr>
              <w:t>$6,048</w:t>
            </w:r>
          </w:p>
        </w:tc>
      </w:tr>
      <w:tr>
        <w:trPr>
          <w:cantSplit/>
        </w:trPr>
        <w:tc>
          <w:tcPr>
            <w:tcW w:type="dxa" w:w="5216"/>
          </w:tcPr>
          <w:p>
            <w:pPr>
              <w:spacing w:after="20"/>
            </w:pPr>
            <w:r/>
            <w:r>
              <w:rPr>
                <w:b w:val="0"/>
                <w:i w:val="0"/>
                <w:sz w:val="18"/>
              </w:rPr>
              <w:t>Sub-consultant: engineering survey (provisional allowance)</w:t>
            </w:r>
          </w:p>
        </w:tc>
        <w:tc>
          <w:tcPr>
            <w:tcW w:type="dxa" w:w="2268"/>
          </w:tcPr>
          <w:p>
            <w:pPr>
              <w:spacing w:after="20"/>
            </w:pPr>
            <w:r/>
            <w:r>
              <w:rPr>
                <w:b w:val="0"/>
                <w:i w:val="0"/>
                <w:sz w:val="18"/>
              </w:rPr>
              <w:t>allowance plus 10% coordination</w:t>
            </w:r>
          </w:p>
        </w:tc>
        <w:tc>
          <w:tcPr>
            <w:tcW w:type="dxa" w:w="2154"/>
          </w:tcPr>
          <w:p>
            <w:pPr>
              <w:spacing w:after="20"/>
              <w:jc w:val="right"/>
            </w:pPr>
            <w:r/>
            <w:r>
              <w:rPr>
                <w:b w:val="0"/>
                <w:i w:val="0"/>
                <w:sz w:val="18"/>
              </w:rPr>
              <w:t>$46,200</w:t>
            </w:r>
          </w:p>
        </w:tc>
      </w:tr>
      <w:tr>
        <w:trPr>
          <w:cantSplit/>
        </w:trPr>
        <w:tc>
          <w:tcPr>
            <w:tcW w:type="dxa" w:w="5216"/>
          </w:tcPr>
          <w:p>
            <w:pPr>
              <w:spacing w:after="20"/>
            </w:pPr>
            <w:r/>
            <w:r>
              <w:rPr>
                <w:b w:val="0"/>
                <w:i w:val="0"/>
                <w:sz w:val="18"/>
              </w:rPr>
              <w:t>Sub-consultant: geotechnical and pavement design (provisional allowance)</w:t>
            </w:r>
          </w:p>
        </w:tc>
        <w:tc>
          <w:tcPr>
            <w:tcW w:type="dxa" w:w="2268"/>
          </w:tcPr>
          <w:p>
            <w:pPr>
              <w:spacing w:after="20"/>
            </w:pPr>
            <w:r/>
            <w:r>
              <w:rPr>
                <w:b w:val="0"/>
                <w:i w:val="0"/>
                <w:sz w:val="18"/>
              </w:rPr>
              <w:t>allowance plus 10% coordination</w:t>
            </w:r>
          </w:p>
        </w:tc>
        <w:tc>
          <w:tcPr>
            <w:tcW w:type="dxa" w:w="2154"/>
          </w:tcPr>
          <w:p>
            <w:pPr>
              <w:spacing w:after="20"/>
              <w:jc w:val="right"/>
            </w:pPr>
            <w:r/>
            <w:r>
              <w:rPr>
                <w:b w:val="0"/>
                <w:i w:val="0"/>
                <w:sz w:val="18"/>
              </w:rPr>
              <w:t>$25,410</w:t>
            </w:r>
          </w:p>
        </w:tc>
      </w:tr>
      <w:tr>
        <w:trPr>
          <w:cantSplit/>
        </w:trPr>
        <w:tc>
          <w:tcPr>
            <w:tcW w:type="dxa" w:w="5216"/>
          </w:tcPr>
          <w:p>
            <w:pPr>
              <w:spacing w:after="20"/>
            </w:pPr>
            <w:r/>
            <w:r>
              <w:rPr>
                <w:b w:val="0"/>
                <w:i w:val="0"/>
                <w:sz w:val="18"/>
              </w:rPr>
              <w:t>Sub-consultant: traffic, SSA and road safety audits (provisional allowance)</w:t>
            </w:r>
          </w:p>
        </w:tc>
        <w:tc>
          <w:tcPr>
            <w:tcW w:type="dxa" w:w="2268"/>
          </w:tcPr>
          <w:p>
            <w:pPr>
              <w:spacing w:after="20"/>
            </w:pPr>
            <w:r/>
            <w:r>
              <w:rPr>
                <w:b w:val="0"/>
                <w:i w:val="0"/>
                <w:sz w:val="18"/>
              </w:rPr>
              <w:t>allowance plus 10% coordination</w:t>
            </w:r>
          </w:p>
        </w:tc>
        <w:tc>
          <w:tcPr>
            <w:tcW w:type="dxa" w:w="2154"/>
          </w:tcPr>
          <w:p>
            <w:pPr>
              <w:spacing w:after="20"/>
              <w:jc w:val="right"/>
            </w:pPr>
            <w:r/>
            <w:r>
              <w:rPr>
                <w:b w:val="0"/>
                <w:i w:val="0"/>
                <w:sz w:val="18"/>
              </w:rPr>
              <w:t>$23,100</w:t>
            </w:r>
          </w:p>
        </w:tc>
      </w:tr>
      <w:tr>
        <w:trPr>
          <w:cantSplit/>
        </w:trPr>
        <w:tc>
          <w:tcPr>
            <w:tcW w:type="dxa" w:w="5216"/>
          </w:tcPr>
          <w:p>
            <w:pPr>
              <w:spacing w:after="20"/>
            </w:pPr>
            <w:r/>
            <w:r>
              <w:rPr>
                <w:b w:val="0"/>
                <w:i w:val="0"/>
                <w:sz w:val="18"/>
              </w:rPr>
              <w:t>Sub-consultant: arborist (provisional allowance)</w:t>
            </w:r>
          </w:p>
        </w:tc>
        <w:tc>
          <w:tcPr>
            <w:tcW w:type="dxa" w:w="2268"/>
          </w:tcPr>
          <w:p>
            <w:pPr>
              <w:spacing w:after="20"/>
            </w:pPr>
            <w:r/>
            <w:r>
              <w:rPr>
                <w:b w:val="0"/>
                <w:i w:val="0"/>
                <w:sz w:val="18"/>
              </w:rPr>
              <w:t>allowance plus 10% coordination</w:t>
            </w:r>
          </w:p>
        </w:tc>
        <w:tc>
          <w:tcPr>
            <w:tcW w:type="dxa" w:w="2154"/>
          </w:tcPr>
          <w:p>
            <w:pPr>
              <w:spacing w:after="20"/>
              <w:jc w:val="right"/>
            </w:pPr>
            <w:r/>
            <w:r>
              <w:rPr>
                <w:b w:val="0"/>
                <w:i w:val="0"/>
                <w:sz w:val="18"/>
              </w:rPr>
              <w:t>$9,240</w:t>
            </w:r>
          </w:p>
        </w:tc>
      </w:tr>
      <w:tr>
        <w:trPr>
          <w:cantSplit/>
        </w:trPr>
        <w:tc>
          <w:tcPr>
            <w:tcW w:type="dxa" w:w="5216"/>
          </w:tcPr>
          <w:p>
            <w:pPr>
              <w:spacing w:after="20"/>
            </w:pPr>
            <w:r/>
            <w:r>
              <w:rPr>
                <w:b w:val="0"/>
                <w:i w:val="0"/>
                <w:sz w:val="18"/>
              </w:rPr>
              <w:t>Sub-consultant: street lighting (provisional allowance)</w:t>
            </w:r>
          </w:p>
        </w:tc>
        <w:tc>
          <w:tcPr>
            <w:tcW w:type="dxa" w:w="2268"/>
          </w:tcPr>
          <w:p>
            <w:pPr>
              <w:spacing w:after="20"/>
            </w:pPr>
            <w:r/>
            <w:r>
              <w:rPr>
                <w:b w:val="0"/>
                <w:i w:val="0"/>
                <w:sz w:val="18"/>
              </w:rPr>
              <w:t>allowance plus 10% coordination</w:t>
            </w:r>
          </w:p>
        </w:tc>
        <w:tc>
          <w:tcPr>
            <w:tcW w:type="dxa" w:w="2154"/>
          </w:tcPr>
          <w:p>
            <w:pPr>
              <w:spacing w:after="20"/>
              <w:jc w:val="right"/>
            </w:pPr>
            <w:r/>
            <w:r>
              <w:rPr>
                <w:b w:val="0"/>
                <w:i w:val="0"/>
                <w:sz w:val="18"/>
              </w:rPr>
              <w:t>$10,395</w:t>
            </w:r>
          </w:p>
        </w:tc>
      </w:tr>
      <w:tr>
        <w:trPr>
          <w:cantSplit/>
        </w:trPr>
        <w:tc>
          <w:tcPr>
            <w:tcW w:type="dxa" w:w="5216"/>
          </w:tcPr>
          <w:p>
            <w:pPr>
              <w:spacing w:after="20"/>
            </w:pPr>
            <w:r/>
            <w:r>
              <w:rPr>
                <w:b w:val="0"/>
                <w:i w:val="0"/>
                <w:sz w:val="18"/>
              </w:rPr>
              <w:t>Disbursements (Section 8.3)</w:t>
            </w:r>
          </w:p>
        </w:tc>
        <w:tc>
          <w:tcPr>
            <w:tcW w:type="dxa" w:w="2268"/>
          </w:tcPr>
          <w:p>
            <w:pPr>
              <w:spacing w:after="20"/>
            </w:pPr>
            <w:r/>
            <w:r>
              <w:rPr>
                <w:b w:val="0"/>
                <w:i w:val="0"/>
                <w:sz w:val="18"/>
              </w:rPr>
              <w:t>at cost</w:t>
            </w:r>
          </w:p>
        </w:tc>
        <w:tc>
          <w:tcPr>
            <w:tcW w:type="dxa" w:w="2154"/>
          </w:tcPr>
          <w:p>
            <w:pPr>
              <w:spacing w:after="20"/>
              <w:jc w:val="right"/>
            </w:pPr>
            <w:r/>
            <w:r>
              <w:rPr>
                <w:b w:val="0"/>
                <w:i w:val="0"/>
                <w:sz w:val="18"/>
              </w:rPr>
              <w:t>$3,790</w:t>
            </w:r>
          </w:p>
        </w:tc>
      </w:tr>
      <w:tr>
        <w:trPr>
          <w:cantSplit/>
        </w:trPr>
        <w:tc>
          <w:tcPr>
            <w:tcW w:type="dxa" w:w="5216"/>
            <w:shd w:val="clear" w:color="auto" w:fill="F3E9C6"/>
          </w:tcPr>
          <w:p>
            <w:pPr>
              <w:spacing w:after="20"/>
            </w:pPr>
            <w:r/>
            <w:r>
              <w:rPr>
                <w:b/>
                <w:i w:val="0"/>
                <w:sz w:val="18"/>
              </w:rPr>
              <w:t>Total (excl. GST)</w:t>
            </w:r>
          </w:p>
        </w:tc>
        <w:tc>
          <w:tcPr>
            <w:tcW w:type="dxa" w:w="2268"/>
            <w:shd w:val="clear" w:color="auto" w:fill="F3E9C6"/>
          </w:tcPr>
          <w:p>
            <w:pPr>
              <w:spacing w:after="20"/>
            </w:pPr>
            <w:r/>
          </w:p>
        </w:tc>
        <w:tc>
          <w:tcPr>
            <w:tcW w:type="dxa" w:w="2154"/>
            <w:shd w:val="clear" w:color="auto" w:fill="F3E9C6"/>
          </w:tcPr>
          <w:p>
            <w:pPr>
              <w:spacing w:after="20"/>
              <w:jc w:val="right"/>
            </w:pPr>
            <w:r/>
            <w:r>
              <w:rPr>
                <w:b/>
                <w:i w:val="0"/>
                <w:sz w:val="18"/>
              </w:rPr>
              <w:t>$258,460</w:t>
            </w:r>
          </w:p>
        </w:tc>
      </w:tr>
    </w:tbl>
    <w:p>
      <w:pPr>
        <w:spacing w:after="40"/>
      </w:pPr>
    </w:p>
    <w:p>
      <w:r>
        <w:rPr>
          <w:b w:val="0"/>
          <w:i w:val="0"/>
        </w:rPr>
        <w:t>Component values include JCE's 5% risk allowance and are rounded; the lump sum governs. The sub-consultant values are provisional allowances until the quotations due on 23/10/2026 are received. [TBC - Jayden: replace with the quotes and adjust the lump sum before lodgement.]</w:t>
      </w:r>
    </w:p>
    <w:p>
      <w:pPr>
        <w:pStyle w:val="Heading2"/>
      </w:pPr>
      <w:r>
        <w:t>8.3   Breakdown by person and task (Brief 9 h) and disbursements (Brief 9 i)</w:t>
      </w:r>
    </w:p>
    <w:tbl>
      <w:tblPr>
        <w:tblStyle w:val="TableGrid"/>
        <w:tblW w:type="auto" w:w="0"/>
        <w:jc w:val="center"/>
        <w:tblLayout w:type="fixed"/>
        <w:tblLook w:firstColumn="1" w:firstRow="1" w:lastColumn="0" w:lastRow="0" w:noHBand="0" w:noVBand="1" w:val="04A0"/>
      </w:tblPr>
      <w:tblGrid>
        <w:gridCol w:w="4309"/>
        <w:gridCol w:w="3175"/>
        <w:gridCol w:w="2154"/>
      </w:tblGrid>
      <w:tr>
        <w:trPr>
          <w:tblHeader/>
          <w:cantSplit/>
        </w:trPr>
        <w:tc>
          <w:tcPr>
            <w:tcW w:type="dxa" w:w="4309"/>
            <w:shd w:val="clear" w:color="auto" w:fill="1A1A1A"/>
          </w:tcPr>
          <w:p>
            <w:pPr>
              <w:keepNext/>
            </w:pPr>
            <w:r/>
            <w:r>
              <w:rPr>
                <w:b/>
                <w:color w:val="FFFFFF"/>
                <w:sz w:val="18"/>
              </w:rPr>
              <w:t>Role (all performed or directly supervised by Jayden Callen)</w:t>
            </w:r>
          </w:p>
        </w:tc>
        <w:tc>
          <w:tcPr>
            <w:tcW w:type="dxa" w:w="3175"/>
            <w:shd w:val="clear" w:color="auto" w:fill="1A1A1A"/>
          </w:tcPr>
          <w:p>
            <w:pPr>
              <w:keepNext/>
            </w:pPr>
            <w:r/>
            <w:r>
              <w:rPr>
                <w:b/>
                <w:color w:val="FFFFFF"/>
                <w:sz w:val="18"/>
              </w:rPr>
              <w:t>Hours: PM / Stage 1 / Stage 2 / Stage 3</w:t>
            </w:r>
          </w:p>
        </w:tc>
        <w:tc>
          <w:tcPr>
            <w:tcW w:type="dxa" w:w="2154"/>
            <w:shd w:val="clear" w:color="auto" w:fill="1A1A1A"/>
          </w:tcPr>
          <w:p>
            <w:pPr>
              <w:keepNext/>
            </w:pPr>
            <w:r/>
            <w:r>
              <w:rPr>
                <w:b/>
                <w:color w:val="FFFFFF"/>
                <w:sz w:val="18"/>
              </w:rPr>
              <w:t>Labour (excl. GST)</w:t>
            </w:r>
          </w:p>
        </w:tc>
      </w:tr>
      <w:tr>
        <w:trPr>
          <w:cantSplit/>
        </w:trPr>
        <w:tc>
          <w:tcPr>
            <w:tcW w:type="dxa" w:w="4309"/>
          </w:tcPr>
          <w:p>
            <w:pPr>
              <w:keepNext/>
              <w:spacing w:after="20"/>
            </w:pPr>
            <w:r/>
            <w:r>
              <w:rPr>
                <w:b w:val="0"/>
                <w:i w:val="0"/>
                <w:sz w:val="18"/>
              </w:rPr>
              <w:t>Director / Principal Engineer ($200/hr)</w:t>
            </w:r>
          </w:p>
        </w:tc>
        <w:tc>
          <w:tcPr>
            <w:tcW w:type="dxa" w:w="3175"/>
          </w:tcPr>
          <w:p>
            <w:pPr>
              <w:keepNext/>
              <w:spacing w:after="20"/>
            </w:pPr>
            <w:r/>
            <w:r>
              <w:rPr>
                <w:b w:val="0"/>
                <w:i w:val="0"/>
                <w:sz w:val="18"/>
              </w:rPr>
              <w:t>34 / 0 / 0 / 22 = 56</w:t>
            </w:r>
          </w:p>
        </w:tc>
        <w:tc>
          <w:tcPr>
            <w:tcW w:type="dxa" w:w="2154"/>
          </w:tcPr>
          <w:p>
            <w:pPr>
              <w:keepNext/>
              <w:spacing w:after="20"/>
              <w:jc w:val="right"/>
            </w:pPr>
            <w:r/>
            <w:r>
              <w:rPr>
                <w:b w:val="0"/>
                <w:i w:val="0"/>
                <w:sz w:val="18"/>
              </w:rPr>
              <w:t>$11,200</w:t>
            </w:r>
          </w:p>
        </w:tc>
      </w:tr>
      <w:tr>
        <w:trPr>
          <w:cantSplit/>
        </w:trPr>
        <w:tc>
          <w:tcPr>
            <w:tcW w:type="dxa" w:w="4309"/>
          </w:tcPr>
          <w:p>
            <w:pPr>
              <w:keepNext/>
              <w:spacing w:after="20"/>
            </w:pPr>
            <w:r/>
            <w:r>
              <w:rPr>
                <w:b w:val="0"/>
                <w:i w:val="0"/>
                <w:sz w:val="18"/>
              </w:rPr>
              <w:t>Senior Engineer ($190/hr)</w:t>
            </w:r>
          </w:p>
        </w:tc>
        <w:tc>
          <w:tcPr>
            <w:tcW w:type="dxa" w:w="3175"/>
          </w:tcPr>
          <w:p>
            <w:pPr>
              <w:keepNext/>
              <w:spacing w:after="20"/>
            </w:pPr>
            <w:r/>
            <w:r>
              <w:rPr>
                <w:b w:val="0"/>
                <w:i w:val="0"/>
                <w:sz w:val="18"/>
              </w:rPr>
              <w:t>0 / 36 / 66 / 44 = 146</w:t>
            </w:r>
          </w:p>
        </w:tc>
        <w:tc>
          <w:tcPr>
            <w:tcW w:type="dxa" w:w="2154"/>
          </w:tcPr>
          <w:p>
            <w:pPr>
              <w:keepNext/>
              <w:spacing w:after="20"/>
              <w:jc w:val="right"/>
            </w:pPr>
            <w:r/>
            <w:r>
              <w:rPr>
                <w:b w:val="0"/>
                <w:i w:val="0"/>
                <w:sz w:val="18"/>
              </w:rPr>
              <w:t>$27,740</w:t>
            </w:r>
          </w:p>
        </w:tc>
      </w:tr>
      <w:tr>
        <w:trPr>
          <w:cantSplit/>
        </w:trPr>
        <w:tc>
          <w:tcPr>
            <w:tcW w:type="dxa" w:w="4309"/>
          </w:tcPr>
          <w:p>
            <w:pPr>
              <w:keepNext/>
              <w:spacing w:after="20"/>
            </w:pPr>
            <w:r/>
            <w:r>
              <w:rPr>
                <w:b w:val="0"/>
                <w:i w:val="0"/>
                <w:sz w:val="18"/>
              </w:rPr>
              <w:t>Project Engineer ($180/hr)</w:t>
            </w:r>
          </w:p>
        </w:tc>
        <w:tc>
          <w:tcPr>
            <w:tcW w:type="dxa" w:w="3175"/>
          </w:tcPr>
          <w:p>
            <w:pPr>
              <w:keepNext/>
              <w:spacing w:after="20"/>
            </w:pPr>
            <w:r/>
            <w:r>
              <w:rPr>
                <w:b w:val="0"/>
                <w:i w:val="0"/>
                <w:sz w:val="18"/>
              </w:rPr>
              <w:t>52 / 18 / 32 / 66 = 168</w:t>
            </w:r>
          </w:p>
        </w:tc>
        <w:tc>
          <w:tcPr>
            <w:tcW w:type="dxa" w:w="2154"/>
          </w:tcPr>
          <w:p>
            <w:pPr>
              <w:keepNext/>
              <w:spacing w:after="20"/>
              <w:jc w:val="right"/>
            </w:pPr>
            <w:r/>
            <w:r>
              <w:rPr>
                <w:b w:val="0"/>
                <w:i w:val="0"/>
                <w:sz w:val="18"/>
              </w:rPr>
              <w:t>$30,240</w:t>
            </w:r>
          </w:p>
        </w:tc>
      </w:tr>
      <w:tr>
        <w:trPr>
          <w:cantSplit/>
        </w:trPr>
        <w:tc>
          <w:tcPr>
            <w:tcW w:type="dxa" w:w="4309"/>
          </w:tcPr>
          <w:p>
            <w:pPr>
              <w:keepNext/>
              <w:spacing w:after="20"/>
            </w:pPr>
            <w:r/>
            <w:r>
              <w:rPr>
                <w:b w:val="0"/>
                <w:i w:val="0"/>
                <w:sz w:val="18"/>
              </w:rPr>
              <w:t>Design Engineer ($170/hr)</w:t>
            </w:r>
          </w:p>
        </w:tc>
        <w:tc>
          <w:tcPr>
            <w:tcW w:type="dxa" w:w="3175"/>
          </w:tcPr>
          <w:p>
            <w:pPr>
              <w:keepNext/>
              <w:spacing w:after="20"/>
            </w:pPr>
            <w:r/>
            <w:r>
              <w:rPr>
                <w:b w:val="0"/>
                <w:i w:val="0"/>
                <w:sz w:val="18"/>
              </w:rPr>
              <w:t>0 / 18 / 168 / 36 = 222</w:t>
            </w:r>
          </w:p>
        </w:tc>
        <w:tc>
          <w:tcPr>
            <w:tcW w:type="dxa" w:w="2154"/>
          </w:tcPr>
          <w:p>
            <w:pPr>
              <w:keepNext/>
              <w:spacing w:after="20"/>
              <w:jc w:val="right"/>
            </w:pPr>
            <w:r/>
            <w:r>
              <w:rPr>
                <w:b w:val="0"/>
                <w:i w:val="0"/>
                <w:sz w:val="18"/>
              </w:rPr>
              <w:t>$37,740</w:t>
            </w:r>
          </w:p>
        </w:tc>
      </w:tr>
      <w:tr>
        <w:trPr>
          <w:cantSplit/>
        </w:trPr>
        <w:tc>
          <w:tcPr>
            <w:tcW w:type="dxa" w:w="4309"/>
          </w:tcPr>
          <w:p>
            <w:pPr>
              <w:keepNext/>
              <w:spacing w:after="20"/>
            </w:pPr>
            <w:r/>
            <w:r>
              <w:rPr>
                <w:b w:val="0"/>
                <w:i w:val="0"/>
                <w:sz w:val="18"/>
              </w:rPr>
              <w:t>CAD / Drafting ($160/hr)</w:t>
            </w:r>
          </w:p>
        </w:tc>
        <w:tc>
          <w:tcPr>
            <w:tcW w:type="dxa" w:w="3175"/>
          </w:tcPr>
          <w:p>
            <w:pPr>
              <w:keepNext/>
              <w:spacing w:after="20"/>
            </w:pPr>
            <w:r/>
            <w:r>
              <w:rPr>
                <w:b w:val="0"/>
                <w:i w:val="0"/>
                <w:sz w:val="18"/>
              </w:rPr>
              <w:t>0 / 0 / 121.5 / 35 = 156.5</w:t>
            </w:r>
          </w:p>
        </w:tc>
        <w:tc>
          <w:tcPr>
            <w:tcW w:type="dxa" w:w="2154"/>
          </w:tcPr>
          <w:p>
            <w:pPr>
              <w:keepNext/>
              <w:spacing w:after="20"/>
              <w:jc w:val="right"/>
            </w:pPr>
            <w:r/>
            <w:r>
              <w:rPr>
                <w:b w:val="0"/>
                <w:i w:val="0"/>
                <w:sz w:val="18"/>
              </w:rPr>
              <w:t>$25,040</w:t>
            </w:r>
          </w:p>
        </w:tc>
      </w:tr>
      <w:tr>
        <w:trPr>
          <w:cantSplit/>
        </w:trPr>
        <w:tc>
          <w:tcPr>
            <w:tcW w:type="dxa" w:w="4309"/>
          </w:tcPr>
          <w:p>
            <w:pPr>
              <w:keepNext/>
              <w:spacing w:after="20"/>
            </w:pPr>
            <w:r/>
            <w:r>
              <w:rPr>
                <w:b w:val="0"/>
                <w:i w:val="0"/>
                <w:sz w:val="18"/>
              </w:rPr>
              <w:t>Administration / Document Control ($140/hr)</w:t>
            </w:r>
          </w:p>
        </w:tc>
        <w:tc>
          <w:tcPr>
            <w:tcW w:type="dxa" w:w="3175"/>
          </w:tcPr>
          <w:p>
            <w:pPr>
              <w:keepNext/>
              <w:spacing w:after="20"/>
            </w:pPr>
            <w:r/>
            <w:r>
              <w:rPr>
                <w:b w:val="0"/>
                <w:i w:val="0"/>
                <w:sz w:val="18"/>
              </w:rPr>
              <w:t>12 / 0 / 0 / 0 = 12</w:t>
            </w:r>
          </w:p>
        </w:tc>
        <w:tc>
          <w:tcPr>
            <w:tcW w:type="dxa" w:w="2154"/>
          </w:tcPr>
          <w:p>
            <w:pPr>
              <w:keepNext/>
              <w:spacing w:after="20"/>
              <w:jc w:val="right"/>
            </w:pPr>
            <w:r/>
            <w:r>
              <w:rPr>
                <w:b w:val="0"/>
                <w:i w:val="0"/>
                <w:sz w:val="18"/>
              </w:rPr>
              <w:t>$1,680</w:t>
            </w:r>
          </w:p>
        </w:tc>
      </w:tr>
      <w:tr>
        <w:trPr>
          <w:cantSplit/>
        </w:trPr>
        <w:tc>
          <w:tcPr>
            <w:tcW w:type="dxa" w:w="4309"/>
            <w:shd w:val="clear" w:color="auto" w:fill="F3E9C6"/>
          </w:tcPr>
          <w:p>
            <w:pPr>
              <w:spacing w:after="20"/>
            </w:pPr>
            <w:r/>
            <w:r>
              <w:rPr>
                <w:b/>
                <w:i w:val="0"/>
                <w:sz w:val="18"/>
              </w:rPr>
              <w:t>Total JCE labour (760.5 hours, before the 5% risk allowance)</w:t>
            </w:r>
          </w:p>
        </w:tc>
        <w:tc>
          <w:tcPr>
            <w:tcW w:type="dxa" w:w="3175"/>
            <w:shd w:val="clear" w:color="auto" w:fill="F3E9C6"/>
          </w:tcPr>
          <w:p>
            <w:pPr>
              <w:spacing w:after="20"/>
            </w:pPr>
            <w:r/>
          </w:p>
        </w:tc>
        <w:tc>
          <w:tcPr>
            <w:tcW w:type="dxa" w:w="2154"/>
            <w:shd w:val="clear" w:color="auto" w:fill="F3E9C6"/>
          </w:tcPr>
          <w:p>
            <w:pPr>
              <w:spacing w:after="20"/>
              <w:jc w:val="right"/>
            </w:pPr>
            <w:r/>
            <w:r>
              <w:rPr>
                <w:b/>
                <w:i w:val="0"/>
                <w:sz w:val="18"/>
              </w:rPr>
              <w:t>$133,640</w:t>
            </w:r>
          </w:p>
        </w:tc>
      </w:tr>
    </w:tbl>
    <w:p>
      <w:pPr>
        <w:spacing w:after="40"/>
      </w:pPr>
    </w:p>
    <w:p>
      <w:r>
        <w:rPr>
          <w:b w:val="0"/>
          <w:i w:val="0"/>
        </w:rPr>
        <w:t>Each task is charged at the rate for the type of work, as JCE's Schedule of Rates (Attachment A) sets out. The task-by-task build-up is available to Council on request.</w:t>
      </w:r>
    </w:p>
    <w:p>
      <w:r>
        <w:rPr>
          <w:b/>
          <w:i w:val="0"/>
        </w:rPr>
        <w:t>Disbursements.</w:t>
      </w:r>
      <w:r>
        <w:rPr>
          <w:b w:val="0"/>
          <w:i w:val="0"/>
        </w:rPr>
        <w:t xml:space="preserve"> Return flights from northern NSW to Adelaide (2 trips, $1,800), four nights' accommodation in Mount Barker ($880), car hire and fuel ($520), plotting ($160) and BYDA and sundries ($250): $3,610 excluding GST ($3,790 with the 5% risk allowance, as shown in Section 8.2), included in the lump sum. No reimbursable expenses are claimed under Agreement Item 6.</w:t>
      </w:r>
    </w:p>
    <w:p>
      <w:pPr>
        <w:pStyle w:val="Heading2"/>
      </w:pPr>
      <w:r>
        <w:t>8.4   PC Sums for the subsequent design stages (Brief 9 g; Agreement Item 4)</w:t>
      </w:r>
    </w:p>
    <w:tbl>
      <w:tblPr>
        <w:tblStyle w:val="TableGrid"/>
        <w:tblW w:type="auto" w:w="0"/>
        <w:jc w:val="center"/>
        <w:tblLayout w:type="fixed"/>
        <w:tblLook w:firstColumn="1" w:firstRow="1" w:lastColumn="0" w:lastRow="0" w:noHBand="0" w:noVBand="1" w:val="04A0"/>
      </w:tblPr>
      <w:tblGrid>
        <w:gridCol w:w="2041"/>
        <w:gridCol w:w="5443"/>
        <w:gridCol w:w="2154"/>
      </w:tblGrid>
      <w:tr>
        <w:trPr>
          <w:tblHeader/>
          <w:cantSplit/>
        </w:trPr>
        <w:tc>
          <w:tcPr>
            <w:tcW w:type="dxa" w:w="2041"/>
            <w:shd w:val="clear" w:color="auto" w:fill="1A1A1A"/>
          </w:tcPr>
          <w:p>
            <w:pPr>
              <w:keepNext/>
            </w:pPr>
            <w:r/>
            <w:r>
              <w:rPr>
                <w:b/>
                <w:color w:val="FFFFFF"/>
                <w:sz w:val="18"/>
              </w:rPr>
              <w:t>Separable Portion</w:t>
            </w:r>
          </w:p>
        </w:tc>
        <w:tc>
          <w:tcPr>
            <w:tcW w:type="dxa" w:w="5443"/>
            <w:shd w:val="clear" w:color="auto" w:fill="1A1A1A"/>
          </w:tcPr>
          <w:p>
            <w:pPr>
              <w:keepNext/>
            </w:pPr>
            <w:r/>
            <w:r>
              <w:rPr>
                <w:b/>
                <w:color w:val="FFFFFF"/>
                <w:sz w:val="18"/>
              </w:rPr>
              <w:t>Scope</w:t>
            </w:r>
          </w:p>
        </w:tc>
        <w:tc>
          <w:tcPr>
            <w:tcW w:type="dxa" w:w="2154"/>
            <w:shd w:val="clear" w:color="auto" w:fill="1A1A1A"/>
          </w:tcPr>
          <w:p>
            <w:pPr>
              <w:keepNext/>
            </w:pPr>
            <w:r/>
            <w:r>
              <w:rPr>
                <w:b/>
                <w:color w:val="FFFFFF"/>
                <w:sz w:val="18"/>
              </w:rPr>
              <w:t>PC Sum (excl. GST)</w:t>
            </w:r>
          </w:p>
        </w:tc>
      </w:tr>
      <w:tr>
        <w:trPr>
          <w:cantSplit/>
        </w:trPr>
        <w:tc>
          <w:tcPr>
            <w:tcW w:type="dxa" w:w="2041"/>
          </w:tcPr>
          <w:p>
            <w:pPr>
              <w:keepNext/>
              <w:spacing w:after="20"/>
            </w:pPr>
            <w:r/>
            <w:r>
              <w:rPr>
                <w:b w:val="0"/>
                <w:i w:val="0"/>
                <w:sz w:val="18"/>
              </w:rPr>
              <w:t>SP2 Detailed Design (70%)</w:t>
            </w:r>
          </w:p>
        </w:tc>
        <w:tc>
          <w:tcPr>
            <w:tcW w:type="dxa" w:w="5443"/>
          </w:tcPr>
          <w:p>
            <w:pPr>
              <w:keepNext/>
              <w:spacing w:after="20"/>
            </w:pPr>
            <w:r/>
            <w:r>
              <w:rPr>
                <w:b w:val="0"/>
                <w:i w:val="0"/>
                <w:sz w:val="18"/>
              </w:rPr>
              <w:t>Detailed design to the 50% and 70% hold points: potholing and targeted survey, supplementary geotechnical investigation, tree ground truthing and hydrovac, Detailed Design Basis Report, lighting design, updated SiD, SSA and road safety audits, landscape and streetscape plan, workshops and monthly meetings</w:t>
            </w:r>
          </w:p>
        </w:tc>
        <w:tc>
          <w:tcPr>
            <w:tcW w:type="dxa" w:w="2154"/>
          </w:tcPr>
          <w:p>
            <w:pPr>
              <w:keepNext/>
              <w:spacing w:after="20"/>
              <w:jc w:val="right"/>
            </w:pPr>
            <w:r/>
            <w:r>
              <w:rPr>
                <w:b w:val="0"/>
                <w:i w:val="0"/>
                <w:sz w:val="18"/>
              </w:rPr>
              <w:t>$221,700</w:t>
            </w:r>
          </w:p>
        </w:tc>
      </w:tr>
      <w:tr>
        <w:trPr>
          <w:cantSplit/>
        </w:trPr>
        <w:tc>
          <w:tcPr>
            <w:tcW w:type="dxa" w:w="2041"/>
          </w:tcPr>
          <w:p>
            <w:pPr>
              <w:keepNext/>
              <w:spacing w:after="20"/>
            </w:pPr>
            <w:r/>
            <w:r>
              <w:rPr>
                <w:b w:val="0"/>
                <w:i w:val="0"/>
                <w:sz w:val="18"/>
              </w:rPr>
              <w:t>SP3 IFC Design (100%)</w:t>
            </w:r>
          </w:p>
        </w:tc>
        <w:tc>
          <w:tcPr>
            <w:tcW w:type="dxa" w:w="5443"/>
          </w:tcPr>
          <w:p>
            <w:pPr>
              <w:keepNext/>
              <w:spacing w:after="20"/>
            </w:pPr>
            <w:r/>
            <w:r>
              <w:rPr>
                <w:b w:val="0"/>
                <w:i w:val="0"/>
                <w:sz w:val="18"/>
              </w:rPr>
              <w:t>100%, IFA, IFT and IFC design and documentation: final drawings, Final Design Report, technical specification, final QS cost estimate, land acquisition and staging plans, final audits</w:t>
            </w:r>
          </w:p>
        </w:tc>
        <w:tc>
          <w:tcPr>
            <w:tcW w:type="dxa" w:w="2154"/>
          </w:tcPr>
          <w:p>
            <w:pPr>
              <w:keepNext/>
              <w:spacing w:after="20"/>
              <w:jc w:val="right"/>
            </w:pPr>
            <w:r/>
            <w:r>
              <w:rPr>
                <w:b w:val="0"/>
                <w:i w:val="0"/>
                <w:sz w:val="18"/>
              </w:rPr>
              <w:t>$117,700</w:t>
            </w:r>
          </w:p>
        </w:tc>
      </w:tr>
      <w:tr>
        <w:trPr>
          <w:cantSplit/>
        </w:trPr>
        <w:tc>
          <w:tcPr>
            <w:tcW w:type="dxa" w:w="2041"/>
            <w:shd w:val="clear" w:color="auto" w:fill="F3E9C6"/>
          </w:tcPr>
          <w:p>
            <w:pPr>
              <w:spacing w:after="20"/>
            </w:pPr>
            <w:r/>
            <w:r>
              <w:rPr>
                <w:b/>
                <w:i w:val="0"/>
                <w:sz w:val="18"/>
              </w:rPr>
              <w:t>Total PC Sums (excl. GST)</w:t>
            </w:r>
          </w:p>
        </w:tc>
        <w:tc>
          <w:tcPr>
            <w:tcW w:type="dxa" w:w="5443"/>
            <w:shd w:val="clear" w:color="auto" w:fill="F3E9C6"/>
          </w:tcPr>
          <w:p>
            <w:pPr>
              <w:spacing w:after="20"/>
            </w:pPr>
            <w:r/>
          </w:p>
        </w:tc>
        <w:tc>
          <w:tcPr>
            <w:tcW w:type="dxa" w:w="2154"/>
            <w:shd w:val="clear" w:color="auto" w:fill="F3E9C6"/>
          </w:tcPr>
          <w:p>
            <w:pPr>
              <w:spacing w:after="20"/>
              <w:jc w:val="right"/>
            </w:pPr>
            <w:r/>
            <w:r>
              <w:rPr>
                <w:b/>
                <w:i w:val="0"/>
                <w:sz w:val="18"/>
              </w:rPr>
              <w:t>$339,400</w:t>
            </w:r>
          </w:p>
        </w:tc>
      </w:tr>
    </w:tbl>
    <w:p>
      <w:pPr>
        <w:spacing w:after="40"/>
      </w:pPr>
    </w:p>
    <w:p>
      <w:r>
        <w:rPr>
          <w:b w:val="0"/>
          <w:i w:val="0"/>
        </w:rPr>
        <w:t>The PC Sums are estimates for budgeting. They are adjustable for scope, program and CPI (All Groups, Adelaide) from the month of tender to the month of detailed pricing, as the Brief and Agreement Item 4 provide, and are not payable until Council issues a written Variation (clause 2.5). Advice and support during procurement and construction would be charged at the Schedule of Rates (Attachment A).</w:t>
      </w:r>
    </w:p>
    <w:p>
      <w:pPr>
        <w:pStyle w:val="Heading1"/>
      </w:pPr>
      <w:r>
        <w:t>9.0   Payment and variations</w:t>
      </w:r>
    </w:p>
    <w:p>
      <w:r>
        <w:rPr>
          <w:b w:val="0"/>
          <w:i w:val="0"/>
        </w:rPr>
        <w:t>JCE will invoice in the first week of each month for the Services completed in the previous month, with each invoice showing contract reference 2026.013, payable within 30 days of a correctly rendered tax invoice (Agreement clause 3.2). Variations will be valued under clause 7 using the Schedule of Rates in Attachment A, with Council's written approval before the work proceeds.</w:t>
      </w:r>
    </w:p>
    <w:p>
      <w:pPr>
        <w:pStyle w:val="Heading1"/>
      </w:pPr>
      <w:r>
        <w:t>10.0   Conflict of interest</w:t>
      </w:r>
    </w:p>
    <w:p>
      <w:r>
        <w:rPr>
          <w:b w:val="0"/>
          <w:i w:val="0"/>
        </w:rPr>
        <w:t>JCE declares that it has no actual, potential or perceived conflict of interest in this consultancy, including with the developers of land on Hawthorn Road and with DIT's designers of the Adelaide Road intersection. JCE will ask each sub-consultant for the same declaration before naming them. [TBC - Jayden: confirm.]</w:t>
      </w:r>
    </w:p>
    <w:p>
      <w:pPr>
        <w:pStyle w:val="Heading1"/>
      </w:pPr>
      <w:r>
        <w:t>11.0   Insurance</w:t>
      </w:r>
    </w:p>
    <w:p>
      <w:pPr>
        <w:pStyle w:val="ListBullet"/>
      </w:pPr>
      <w:r>
        <w:rPr>
          <w:b w:val="0"/>
          <w:i w:val="0"/>
        </w:rPr>
        <w:t>Professional Indemnity: $10 million any one claim and $20 million in the aggregate, above the $2 million required by Item 14. JCE will maintain PI cover of at least $2 million for seven years after the Services (Annexure D).</w:t>
      </w:r>
    </w:p>
    <w:p>
      <w:pPr>
        <w:pStyle w:val="ListBullet"/>
      </w:pPr>
      <w:r>
        <w:rPr>
          <w:b w:val="0"/>
          <w:i w:val="0"/>
        </w:rPr>
        <w:t>Public Liability: JCE currently holds $10 million. JCE will lift its Public Liability cover to $20 million any one occurrence on award, as Item 14 requires, and provide the certificate of currency before the Services start.</w:t>
      </w:r>
    </w:p>
    <w:p>
      <w:pPr>
        <w:pStyle w:val="ListBullet"/>
      </w:pPr>
      <w:r>
        <w:rPr>
          <w:b w:val="0"/>
          <w:i w:val="0"/>
        </w:rPr>
        <w:t>Workers compensation: JCE has no workers in South Australia and its Director performs the JCE services. JCE will provide evidence of its workers compensation and accident cover under clause 20.15.6, and of Return to Work SA registration if the law requires it. [TBC - Jayden: confirm the cover held and attach the certificate.]</w:t>
      </w:r>
    </w:p>
    <w:p>
      <w:pPr>
        <w:pStyle w:val="ListBullet"/>
      </w:pPr>
      <w:r>
        <w:rPr>
          <w:b w:val="0"/>
          <w:i w:val="0"/>
        </w:rPr>
        <w:t>Sub-consultants will be required to hold the insurances in clause 10.5 and 20.15.3.</w:t>
      </w:r>
    </w:p>
    <w:p>
      <w:r>
        <w:rPr>
          <w:b w:val="0"/>
          <w:i w:val="0"/>
        </w:rPr>
        <w:t>Certificates of currency for Professional Indemnity and Public Liability (current to 02/07/2027) are in Attachment C.</w:t>
      </w:r>
    </w:p>
    <w:p>
      <w:pPr>
        <w:pStyle w:val="Heading1"/>
      </w:pPr>
      <w:r>
        <w:t>12.0   Acceptance of the Services Agreement and requested amendments</w:t>
      </w:r>
    </w:p>
    <w:p>
      <w:pPr>
        <w:keepNext/>
      </w:pPr>
      <w:r>
        <w:rPr>
          <w:b w:val="0"/>
          <w:i w:val="0"/>
        </w:rPr>
        <w:t>JCE accepts the terms and conditions of Council's draft Services Agreement (DOC/26/15534), subject to the following requested amendments, which JCE is willing to discuss:</w:t>
      </w:r>
    </w:p>
    <w:p>
      <w:pPr>
        <w:pStyle w:val="ListBullet"/>
      </w:pPr>
      <w:r>
        <w:rPr>
          <w:b w:val="0"/>
          <w:i w:val="0"/>
        </w:rPr>
        <w:t>Clause 12.1: the indemnity to be reduced to the extent a loss is caused or contributed to by Council or third parties, and to exclude indirect and consequential loss.</w:t>
      </w:r>
    </w:p>
    <w:p>
      <w:pPr>
        <w:pStyle w:val="ListBullet"/>
      </w:pPr>
      <w:r>
        <w:rPr>
          <w:b w:val="0"/>
          <w:i w:val="0"/>
        </w:rPr>
        <w:t>New clause: JCE's aggregate liability under the Agreement to be limited to the Professional Indemnity amount in Item 14 ($2 million), except for personal injury, death and third-party property damage.</w:t>
      </w:r>
    </w:p>
    <w:p>
      <w:pPr>
        <w:pStyle w:val="ListBullet"/>
      </w:pPr>
      <w:r>
        <w:rPr>
          <w:b w:val="0"/>
          <w:i w:val="0"/>
        </w:rPr>
        <w:t>Clause 20.15 and Item 14: Return to Work SA registration to apply where the law requires it (consistent with clause 10.4), with the alternative cover in clause 20.15.6 accepted otherwise.</w:t>
      </w:r>
    </w:p>
    <w:p>
      <w:pPr>
        <w:pStyle w:val="ListBullet"/>
      </w:pPr>
      <w:r>
        <w:rPr>
          <w:b w:val="0"/>
          <w:i w:val="0"/>
        </w:rPr>
        <w:t>Clause 19: Council's consent to the sub-consultants named at award, on the information in Section 5.2.</w:t>
      </w:r>
    </w:p>
    <w:p>
      <w:pPr>
        <w:pStyle w:val="Heading1"/>
      </w:pPr>
      <w:r>
        <w:t>13.0   Validity and offer</w:t>
      </w:r>
    </w:p>
    <w:p>
      <w:r>
        <w:rPr>
          <w:b w:val="0"/>
          <w:i w:val="0"/>
        </w:rPr>
        <w:t>This offer is valid for 90 days from the closing date of 30/10/2026.</w:t>
      </w:r>
    </w:p>
    <w:p>
      <w:r>
        <w:rPr>
          <w:b w:val="0"/>
          <w:i w:val="0"/>
        </w:rPr>
        <w:t>Thank you for considering JCE's submission. Please contact me directly with any questions.</w:t>
      </w:r>
    </w:p>
    <w:p>
      <w:pPr>
        <w:keepNext/>
        <w:keepLines/>
        <w:spacing w:after="40"/>
      </w:pPr>
      <w:r>
        <w:rPr>
          <w:b w:val="0"/>
          <w:i w:val="0"/>
        </w:rPr>
        <w:t>Yours faithfully,</w:t>
      </w:r>
    </w:p>
    <w:p>
      <w:pPr>
        <w:keepNext/>
        <w:keepLines/>
        <w:spacing w:after="40"/>
      </w:pPr>
    </w:p>
    <w:p>
      <w:pPr>
        <w:keepNext/>
        <w:keepLines/>
        <w:spacing w:after="40"/>
      </w:pPr>
      <w:r>
        <w:rPr>
          <w:b w:val="0"/>
          <w:i/>
        </w:rPr>
        <w:t>[signature]</w:t>
      </w:r>
    </w:p>
    <w:p>
      <w:pPr>
        <w:keepNext/>
        <w:keepLines/>
        <w:spacing w:after="40"/>
      </w:pPr>
      <w:r>
        <w:rPr>
          <w:b/>
          <w:i w:val="0"/>
        </w:rPr>
        <w:t>Jayden Callen</w:t>
      </w:r>
    </w:p>
    <w:p>
      <w:pPr>
        <w:keepNext/>
        <w:keepLines/>
        <w:spacing w:after="40"/>
      </w:pPr>
      <w:r>
        <w:rPr>
          <w:b w:val="0"/>
          <w:i w:val="0"/>
        </w:rPr>
        <w:t>Director, JCE Infrastructure Pty Ltd (ABN 29 699 165 663)</w:t>
      </w:r>
    </w:p>
    <w:p>
      <w:pPr>
        <w:keepNext/>
        <w:keepLines/>
        <w:spacing w:after="40"/>
      </w:pPr>
      <w:r>
        <w:rPr>
          <w:b w:val="0"/>
          <w:i w:val="0"/>
        </w:rPr>
        <w:t>0477 207 027  |  jayden@jceinfrastructure.com.au</w:t>
      </w:r>
    </w:p>
    <w:p>
      <w:pPr>
        <w:keepLines/>
        <w:spacing w:after="40"/>
      </w:pPr>
      <w:r>
        <w:rPr>
          <w:b w:val="0"/>
          <w:i w:val="0"/>
        </w:rPr>
        <w:t>Date: ____/____/2026</w:t>
      </w:r>
    </w:p>
    <w:p>
      <w:r>
        <w:br w:type="page"/>
      </w:r>
    </w:p>
    <w:p>
      <w:pPr>
        <w:keepNext/>
        <w:pBdr>
          <w:bottom w:val="single" w:sz="12" w:space="1" w:color="C9A227"/>
        </w:pBdr>
      </w:pPr>
      <w:r>
        <w:rPr>
          <w:b/>
          <w:color w:val="C9A227"/>
          <w:sz w:val="26"/>
        </w:rPr>
        <w:t>Attachment A: Schedule of Rates</w:t>
      </w:r>
    </w:p>
    <w:p>
      <w:pPr>
        <w:keepNext/>
      </w:pPr>
      <w:r>
        <w:rPr>
          <w:b w:val="0"/>
          <w:i w:val="0"/>
        </w:rPr>
        <w:t>Applies to variations, ad hoc advice and support (Agreement Item 4).</w:t>
      </w:r>
    </w:p>
    <w:tbl>
      <w:tblPr>
        <w:tblStyle w:val="TableGrid"/>
        <w:tblW w:type="auto" w:w="0"/>
        <w:jc w:val="center"/>
        <w:tblLayout w:type="fixed"/>
        <w:tblLook w:firstColumn="1" w:firstRow="1" w:lastColumn="0" w:lastRow="0" w:noHBand="0" w:noVBand="1" w:val="04A0"/>
      </w:tblPr>
      <w:tblGrid>
        <w:gridCol w:w="5103"/>
        <w:gridCol w:w="4536"/>
      </w:tblGrid>
      <w:tr>
        <w:trPr>
          <w:tblHeader/>
          <w:cantSplit/>
        </w:trPr>
        <w:tc>
          <w:tcPr>
            <w:tcW w:type="dxa" w:w="5102"/>
            <w:shd w:val="clear" w:color="auto" w:fill="1A1A1A"/>
          </w:tcPr>
          <w:p>
            <w:pPr>
              <w:keepNext/>
            </w:pPr>
            <w:r/>
            <w:r>
              <w:rPr>
                <w:b/>
                <w:color w:val="FFFFFF"/>
                <w:sz w:val="18"/>
              </w:rPr>
              <w:t>Role</w:t>
            </w:r>
          </w:p>
        </w:tc>
        <w:tc>
          <w:tcPr>
            <w:tcW w:type="dxa" w:w="4535"/>
            <w:shd w:val="clear" w:color="auto" w:fill="1A1A1A"/>
          </w:tcPr>
          <w:p>
            <w:pPr>
              <w:keepNext/>
            </w:pPr>
            <w:r/>
            <w:r>
              <w:rPr>
                <w:b/>
                <w:color w:val="FFFFFF"/>
                <w:sz w:val="18"/>
              </w:rPr>
              <w:t>Rate (excl. GST)</w:t>
            </w:r>
          </w:p>
        </w:tc>
      </w:tr>
      <w:tr>
        <w:trPr>
          <w:cantSplit/>
        </w:trPr>
        <w:tc>
          <w:tcPr>
            <w:tcW w:type="dxa" w:w="5102"/>
          </w:tcPr>
          <w:p>
            <w:pPr>
              <w:keepNext/>
              <w:spacing w:after="20"/>
            </w:pPr>
            <w:r/>
            <w:r>
              <w:rPr>
                <w:b w:val="0"/>
                <w:i w:val="0"/>
                <w:sz w:val="18"/>
              </w:rPr>
              <w:t>Director / Principal Engineer</w:t>
            </w:r>
          </w:p>
        </w:tc>
        <w:tc>
          <w:tcPr>
            <w:tcW w:type="dxa" w:w="4535"/>
          </w:tcPr>
          <w:p>
            <w:pPr>
              <w:keepNext/>
              <w:spacing w:after="20"/>
              <w:jc w:val="right"/>
            </w:pPr>
            <w:r/>
            <w:r>
              <w:rPr>
                <w:b w:val="0"/>
                <w:i w:val="0"/>
                <w:sz w:val="18"/>
              </w:rPr>
              <w:t>$200 / hr  ($1,600 / day)</w:t>
            </w:r>
          </w:p>
        </w:tc>
      </w:tr>
      <w:tr>
        <w:trPr>
          <w:cantSplit/>
        </w:trPr>
        <w:tc>
          <w:tcPr>
            <w:tcW w:type="dxa" w:w="5102"/>
          </w:tcPr>
          <w:p>
            <w:pPr>
              <w:keepNext/>
              <w:spacing w:after="20"/>
            </w:pPr>
            <w:r/>
            <w:r>
              <w:rPr>
                <w:b w:val="0"/>
                <w:i w:val="0"/>
                <w:sz w:val="18"/>
              </w:rPr>
              <w:t>Senior Engineer</w:t>
            </w:r>
          </w:p>
        </w:tc>
        <w:tc>
          <w:tcPr>
            <w:tcW w:type="dxa" w:w="4535"/>
          </w:tcPr>
          <w:p>
            <w:pPr>
              <w:keepNext/>
              <w:spacing w:after="20"/>
              <w:jc w:val="right"/>
            </w:pPr>
            <w:r/>
            <w:r>
              <w:rPr>
                <w:b w:val="0"/>
                <w:i w:val="0"/>
                <w:sz w:val="18"/>
              </w:rPr>
              <w:t>$190 / hr  ($1,520 / day)</w:t>
            </w:r>
          </w:p>
        </w:tc>
      </w:tr>
      <w:tr>
        <w:trPr>
          <w:cantSplit/>
        </w:trPr>
        <w:tc>
          <w:tcPr>
            <w:tcW w:type="dxa" w:w="5102"/>
          </w:tcPr>
          <w:p>
            <w:pPr>
              <w:keepNext/>
              <w:spacing w:after="20"/>
            </w:pPr>
            <w:r/>
            <w:r>
              <w:rPr>
                <w:b w:val="0"/>
                <w:i w:val="0"/>
                <w:sz w:val="18"/>
              </w:rPr>
              <w:t>Project Engineer</w:t>
            </w:r>
          </w:p>
        </w:tc>
        <w:tc>
          <w:tcPr>
            <w:tcW w:type="dxa" w:w="4535"/>
          </w:tcPr>
          <w:p>
            <w:pPr>
              <w:keepNext/>
              <w:spacing w:after="20"/>
              <w:jc w:val="right"/>
            </w:pPr>
            <w:r/>
            <w:r>
              <w:rPr>
                <w:b w:val="0"/>
                <w:i w:val="0"/>
                <w:sz w:val="18"/>
              </w:rPr>
              <w:t>$180 / hr  ($1,440 / day)</w:t>
            </w:r>
          </w:p>
        </w:tc>
      </w:tr>
      <w:tr>
        <w:trPr>
          <w:cantSplit/>
        </w:trPr>
        <w:tc>
          <w:tcPr>
            <w:tcW w:type="dxa" w:w="5102"/>
          </w:tcPr>
          <w:p>
            <w:pPr>
              <w:keepNext/>
              <w:spacing w:after="20"/>
            </w:pPr>
            <w:r/>
            <w:r>
              <w:rPr>
                <w:b w:val="0"/>
                <w:i w:val="0"/>
                <w:sz w:val="18"/>
              </w:rPr>
              <w:t>Design Engineer</w:t>
            </w:r>
          </w:p>
        </w:tc>
        <w:tc>
          <w:tcPr>
            <w:tcW w:type="dxa" w:w="4535"/>
          </w:tcPr>
          <w:p>
            <w:pPr>
              <w:keepNext/>
              <w:spacing w:after="20"/>
              <w:jc w:val="right"/>
            </w:pPr>
            <w:r/>
            <w:r>
              <w:rPr>
                <w:b w:val="0"/>
                <w:i w:val="0"/>
                <w:sz w:val="18"/>
              </w:rPr>
              <w:t>$170 / hr  ($1,360 / day)</w:t>
            </w:r>
          </w:p>
        </w:tc>
      </w:tr>
      <w:tr>
        <w:trPr>
          <w:cantSplit/>
        </w:trPr>
        <w:tc>
          <w:tcPr>
            <w:tcW w:type="dxa" w:w="5102"/>
          </w:tcPr>
          <w:p>
            <w:pPr>
              <w:keepNext/>
              <w:spacing w:after="20"/>
            </w:pPr>
            <w:r/>
            <w:r>
              <w:rPr>
                <w:b w:val="0"/>
                <w:i w:val="0"/>
                <w:sz w:val="18"/>
              </w:rPr>
              <w:t>CAD / Drafting Technician</w:t>
            </w:r>
          </w:p>
        </w:tc>
        <w:tc>
          <w:tcPr>
            <w:tcW w:type="dxa" w:w="4535"/>
          </w:tcPr>
          <w:p>
            <w:pPr>
              <w:keepNext/>
              <w:spacing w:after="20"/>
              <w:jc w:val="right"/>
            </w:pPr>
            <w:r/>
            <w:r>
              <w:rPr>
                <w:b w:val="0"/>
                <w:i w:val="0"/>
                <w:sz w:val="18"/>
              </w:rPr>
              <w:t>$160 / hr  ($1,280 / day)</w:t>
            </w:r>
          </w:p>
        </w:tc>
      </w:tr>
      <w:tr>
        <w:trPr>
          <w:cantSplit/>
        </w:trPr>
        <w:tc>
          <w:tcPr>
            <w:tcW w:type="dxa" w:w="5102"/>
          </w:tcPr>
          <w:p>
            <w:pPr>
              <w:keepNext/>
              <w:spacing w:after="20"/>
            </w:pPr>
            <w:r/>
            <w:r>
              <w:rPr>
                <w:b w:val="0"/>
                <w:i w:val="0"/>
                <w:sz w:val="18"/>
              </w:rPr>
              <w:t>Administration / Document Control</w:t>
            </w:r>
          </w:p>
        </w:tc>
        <w:tc>
          <w:tcPr>
            <w:tcW w:type="dxa" w:w="4535"/>
          </w:tcPr>
          <w:p>
            <w:pPr>
              <w:keepNext/>
              <w:spacing w:after="20"/>
              <w:jc w:val="right"/>
            </w:pPr>
            <w:r/>
            <w:r>
              <w:rPr>
                <w:b w:val="0"/>
                <w:i w:val="0"/>
                <w:sz w:val="18"/>
              </w:rPr>
              <w:t>$140 / hr  ($1,120 / day)</w:t>
            </w:r>
          </w:p>
        </w:tc>
      </w:tr>
      <w:tr>
        <w:trPr>
          <w:cantSplit/>
        </w:trPr>
        <w:tc>
          <w:tcPr>
            <w:tcW w:type="dxa" w:w="5102"/>
          </w:tcPr>
          <w:p>
            <w:pPr>
              <w:spacing w:after="20"/>
            </w:pPr>
            <w:r/>
            <w:r>
              <w:rPr>
                <w:b w:val="0"/>
                <w:i w:val="0"/>
                <w:sz w:val="18"/>
              </w:rPr>
              <w:t>Sub-consultant services</w:t>
            </w:r>
          </w:p>
        </w:tc>
        <w:tc>
          <w:tcPr>
            <w:tcW w:type="dxa" w:w="4535"/>
          </w:tcPr>
          <w:p>
            <w:pPr>
              <w:spacing w:after="20"/>
            </w:pPr>
            <w:r/>
            <w:r>
              <w:rPr>
                <w:b w:val="0"/>
                <w:i w:val="0"/>
                <w:sz w:val="18"/>
              </w:rPr>
              <w:t>At cost plus 10%</w:t>
            </w:r>
          </w:p>
        </w:tc>
      </w:tr>
    </w:tbl>
    <w:p>
      <w:pPr>
        <w:spacing w:after="40"/>
      </w:pPr>
    </w:p>
    <w:p>
      <w:r>
        <w:rPr>
          <w:b w:val="0"/>
          <w:i w:val="0"/>
        </w:rPr>
        <w:t>Rates exclude GST, are fixed for Separable Portion 1 and may be reviewed by CPI (All Groups, Adelaide) after that under clause 6. A day is eight hours. Disbursements at cost.</w:t>
      </w:r>
    </w:p>
    <w:p>
      <w:r>
        <w:br w:type="page"/>
      </w:r>
    </w:p>
    <w:p>
      <w:pPr>
        <w:keepNext/>
        <w:pBdr>
          <w:bottom w:val="single" w:sz="12" w:space="1" w:color="C9A227"/>
        </w:pBdr>
      </w:pPr>
      <w:r>
        <w:rPr>
          <w:b/>
          <w:color w:val="C9A227"/>
          <w:sz w:val="26"/>
        </w:rPr>
        <w:t>Attachment B: Curriculum vitae of key staff</w:t>
      </w:r>
    </w:p>
    <w:p>
      <w:r>
        <w:rPr>
          <w:b w:val="0"/>
          <w:i w:val="0"/>
        </w:rPr>
        <w:t>Jayden Callen, detailed CV (Callen-Pell_NER-02_Detailed_CV.pdf), inserted after this page in the submission file.</w:t>
      </w:r>
    </w:p>
    <w:p>
      <w:r>
        <w:br w:type="page"/>
      </w:r>
    </w:p>
    <w:p>
      <w:pPr>
        <w:keepNext/>
        <w:pBdr>
          <w:bottom w:val="single" w:sz="12" w:space="1" w:color="C9A227"/>
        </w:pBdr>
      </w:pPr>
      <w:r>
        <w:rPr>
          <w:b/>
          <w:color w:val="C9A227"/>
          <w:sz w:val="26"/>
        </w:rPr>
        <w:t>Attachment C: Certificates of currency and company documents</w:t>
      </w:r>
    </w:p>
    <w:p>
      <w:r>
        <w:rPr>
          <w:b w:val="0"/>
          <w:i w:val="0"/>
        </w:rPr>
        <w:t>Inserted after this page in the submission file: certificate of currency (PI and PL); JCE Capability Statement (Councils); Work Health and Safety Policy; WHS Management Plan; Safety in Design Procedure; Quality Policy; Environmental Policy; Modern Slavery Policy.</w:t>
      </w:r>
    </w:p>
    <w:sectPr w:rsidR="00FC693F" w:rsidRPr="0006063C" w:rsidSect="00034616">
      <w:footerReference w:type="default" r:id="rId9"/>
      <w:pgSz w:w="11906" w:h="16838"/>
      <w:pgMar w:top="907"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555555"/>
        <w:sz w:val="15"/>
      </w:rPr>
      <w:t xml:space="preserve">JCE FP VP523438  |  MBDC RFT 2026.013 Concept Design for Hawthorn Road  |  Rev G  |  12/10/2026   |   Page </w:t>
    </w:r>
    <w:r>
      <w:rPr>
        <w:color w:val="555555"/>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Arial" w:hAnsi="Arial"/>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Arial" w:hAnsi="Arial"/>
      <w:b/>
      <w:bCs/>
      <w:i w:val="0"/>
      <w:color w:val="C9A227"/>
      <w:sz w:val="22"/>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Arial" w:hAnsi="Arial"/>
      <w:b/>
      <w:bCs/>
      <w:i w:val="0"/>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rial" w:hAnsi="Arial"/>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