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with CASA operator accreditation (ARN) and drone registration in place before services start; JCE does not hold a RePL or ReOC. Flights are planned in DroneDeploy with RTK corrections (AUSCORS or CORSnet-NSW), accuracy is checked against independent check points, and captures are processed in Autodesk ReCap Pro and delivered through QGIS. Deliverables per site: orthophoto or terrain model, GIS layer, and high-resolution aerial stills of the asset's existing condition and any defects.</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and Civil 3D and GIS data management.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His summary is in Attachment B and his detailed CV is attached to the tender.</w:t>
      </w:r>
    </w:p>
    <w:p>
      <w:pPr>
        <w:pStyle w:val="Heading2"/>
      </w:pPr>
      <w:r>
        <w:t>Similar projects and referees (Returnable 11)</w:t>
      </w:r>
    </w:p>
    <w:p>
      <w:r>
        <w:rPr>
          <w:i w:val="0"/>
        </w:rPr>
        <w:t>[TBC - Jayden: three similar projects completed in the last five years with referees. JCE has not completed a network condition audit or revaluation of its own, so these will be the data capture and valuation partners' projects, clearly labelled as theirs, from the quotes due 21/10/2026.]</w:t>
      </w:r>
    </w:p>
    <w:p>
      <w:r>
        <w:rPr>
          <w:b/>
        </w:rPr>
        <w:t xml:space="preserve">Related capability project: </w:t>
      </w:r>
      <w:r>
        <w:rPr>
          <w:i w:val="0"/>
        </w:rPr>
        <w:t>Farm drainage works, private rural client (Craig Sullivan): drone photogrammetry survey of the property using RTK-positioned automated flights, processed in Autodesk ReCap Pro to a terrain surface used to design the drainage works. Referee details available on request. This private project shows JCE's drone survey and processing capability; it is not a council transport-asset project.</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terrain model, GIS layer, high-resolution aerial stills of existing condition and defects)</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Drone photogrammetry. </w:t>
      </w:r>
      <w: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