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Request for quotation JCE-RFQ-VP527574-RE Rev C (FINAL)  |  Date: 12/10/2026  |  To: invited sub-consultant (named in the covering email)</w:t>
      </w:r>
    </w:p>
    <w:p>
      <w:r>
        <w:rPr>
          <w:b/>
        </w:rPr>
        <w:t>Request for quotation: Direct supervision and approval of the civil design (Registered Professional Engineer, Victoria, Civil)</w:t>
      </w:r>
    </w:p>
    <w:p>
      <w:r>
        <w:rPr>
          <w:b/>
        </w:rPr>
        <w:t>Newstead Levee Design 26/27, Mount Alexander Shire Council RFQ M2025-125</w:t>
      </w:r>
    </w:p>
    <w:p>
      <w:r>
        <w:rPr/>
        <w:t xml:space="preserve">JCE Infrastructure Pty Ltd (JCE) invites you to quote for the work below as a sub-consultant to JCE. </w:t>
      </w:r>
      <w:r>
        <w:rPr>
          <w:b/>
        </w:rPr>
        <w:t>Quotations are due by Friday 16/10/2026, 12:00 pm (AEDT).</w:t>
      </w:r>
    </w:p>
    <w:p>
      <w:pPr>
        <w:pStyle w:val="Heading1"/>
      </w:pPr>
      <w:r>
        <w:t>1.0   PROJECT AND TENDER</w:t>
      </w:r>
    </w:p>
    <w:p>
      <w:r>
        <w:rPr/>
        <w:t xml:space="preserve">Mount Alexander Shire Council has invited quotations under </w:t>
      </w:r>
      <w:r>
        <w:rPr>
          <w:b/>
        </w:rPr>
        <w:t>RFQ M2025-125</w:t>
      </w:r>
      <w:r>
        <w:rPr/>
        <w:t xml:space="preserve"> (VendorPanel VP527574) for the detailed design, approvals support, documentation and construction tender package for the Newstead levee. The tender closes at 2:00 pm (AEDT) on Friday 23/10/2026. It is a fixed-price lump sum under AS 4122:2010, and the final package is due on Friday 26/02/2027.</w:t>
      </w:r>
    </w:p>
    <w:p>
      <w:r>
        <w:rPr>
          <w:b/>
        </w:rPr>
        <w:t>The levee.</w:t>
      </w:r>
      <w:r>
        <w:rPr/>
        <w:t xml:space="preserve"> The 1920s earthen levee on the east bank of the Loddon River at Newstead is about 1.5 km long. A 2017 risk assessment found it vulnerable to overtopping, slumping, piping and foundation seepage, with the southern section at extreme risk in a 1% AEP event. In May 2026 Council approved Mitigation Option 6b (raised, extended and realigned levee, Brief Appendix 2), based on Water Technology's Newstead Flood Study (RORB and TUFLOW models). Option 6b extends the northern end along Mia Mia Creek and realigns the southern end. The study reports flood level increases of up to 400 mm west of the river and a large fill volume, which the design must reduce.</w:t>
      </w:r>
    </w:p>
    <w:p>
      <w:r>
        <w:rPr>
          <w:b/>
        </w:rPr>
        <w:t>Budget and JCE's approach.</w:t>
      </w:r>
      <w:r>
        <w:rPr/>
        <w:t xml:space="preserve"> Council's indicative budget is $125,000 including GST for the whole commission (Brief 1.8). JCE is therefore quoting a lean main offer built on the existing TUFLOW model and NCCMA LiDAR, with investigations as provisional sums that proceed only on Council's written direction, and a fuller scope as an alternative. Please price the main items and the options separately, as set out in Section 6.0.</w:t>
      </w:r>
    </w:p>
    <w:p>
      <w:r>
        <w:rPr>
          <w:b/>
        </w:rPr>
        <w:t>Hold points (Brief 1.5):</w:t>
      </w:r>
      <w:r>
        <w:rPr/>
        <w:t xml:space="preserve"> HP1 program and information gap register; HP2 Design Basis Memorandum; HP3 concept alignment and hydraulic impact review; HP4 50% design; HP5 80% design; HP6 final design and Issued for Tender package with design certification.</w:t>
      </w:r>
    </w:p>
    <w:p>
      <w:r>
        <w:rPr>
          <w:b/>
        </w:rPr>
        <w:t>JCE's role.</w:t>
      </w:r>
      <w:r>
        <w:rPr/>
        <w:t xml:space="preserve"> JCE Infrastructure is tendering as lead consultant (project management, civil and hydraulic design, specification, quantities and estimate). You would be engaged as a sub-consultant to JCE.</w:t>
      </w:r>
    </w:p>
    <w:p>
      <w:pPr>
        <w:pStyle w:val="Heading1"/>
      </w:pPr>
      <w:r>
        <w:t>2.0   SCOPE OF SERVICES</w:t>
      </w:r>
    </w:p>
    <w:p>
      <w:pPr>
        <w:keepNext/>
      </w:pPr>
      <w:r>
        <w:rPr/>
        <w:t>Council's Schedule F requires the designer or supervisor and the design approver to be registered engineers in Victoria, and Council will not accept deliverables approved by an unregistered engineer. JCE's Director is not registered in Victoria, so this role is essential to JCE's tender:</w:t>
      </w:r>
    </w:p>
    <w:p>
      <w:pPr>
        <w:pStyle w:val="ListBullet"/>
        <w:spacing w:after="60"/>
      </w:pPr>
      <w:r>
        <w:rPr>
          <w:b/>
        </w:rPr>
        <w:t>C1 (Main) Supervision plan and Design Basis Memorandum:</w:t>
      </w:r>
      <w:r>
        <w:rPr/>
        <w:t xml:space="preserve"> agree a written supervision and verification plan at inception under the Professional Engineers Registration Act 2019 (Vic); review and endorse the Design Basis Memorandum (HP2).</w:t>
      </w:r>
    </w:p>
    <w:p>
      <w:pPr>
        <w:pStyle w:val="ListBullet"/>
        <w:spacing w:after="60"/>
      </w:pPr>
      <w:r>
        <w:rPr>
          <w:b/>
        </w:rPr>
        <w:t>C2 (Main) Concept review (HP3):</w:t>
      </w:r>
      <w:r>
        <w:rPr/>
        <w:t xml:space="preserve"> review of alignment, levels, typical sections and concept report; written comments and close-out.</w:t>
      </w:r>
    </w:p>
    <w:p>
      <w:pPr>
        <w:pStyle w:val="ListBullet"/>
        <w:spacing w:after="60"/>
      </w:pPr>
      <w:r>
        <w:rPr>
          <w:b/>
        </w:rPr>
        <w:t>C3 (Main) 50% and 80% reviews (HP4, HP5):</w:t>
      </w:r>
      <w:r>
        <w:rPr/>
        <w:t xml:space="preserve"> calculations, drawings, draft specification and design report; written comments and close-out.</w:t>
      </w:r>
    </w:p>
    <w:p>
      <w:pPr>
        <w:pStyle w:val="ListBullet"/>
        <w:spacing w:after="60"/>
      </w:pPr>
      <w:r>
        <w:rPr>
          <w:b/>
        </w:rPr>
        <w:t>C4 (Main) Final review and design approval (HP6):</w:t>
      </w:r>
      <w:r>
        <w:rPr/>
        <w:t xml:space="preserve"> sign the design certification for the civil design and keep supervision records. Reviews are online and returned within 3 business days of JCE's issue.</w:t>
      </w:r>
    </w:p>
    <w:p>
      <w:pPr>
        <w:pStyle w:val="ListBullet"/>
        <w:spacing w:after="60"/>
      </w:pPr>
      <w:r>
        <w:rPr>
          <w:b/>
        </w:rPr>
        <w:t>C5 (Option) Site attendance at Newstead,</w:t>
      </w:r>
      <w:r>
        <w:rPr/>
        <w:t xml:space="preserve"> per visit including travel (for example the concept workshop or a community session).</w:t>
      </w:r>
    </w:p>
    <w:p>
      <w:pPr>
        <w:pStyle w:val="ListBullet"/>
        <w:spacing w:after="60"/>
      </w:pPr>
      <w:r>
        <w:rPr>
          <w:b/>
        </w:rPr>
        <w:t>C6 (Option) Tender-period support</w:t>
      </w:r>
      <w:r>
        <w:rPr/>
        <w:t xml:space="preserve"> for RFIs on certified elements, hourly.</w:t>
      </w:r>
    </w:p>
    <w:p>
      <w:pPr>
        <w:pStyle w:val="Heading1"/>
      </w:pPr>
      <w:r>
        <w:t>3.0   DELIVERABLES</w:t>
      </w:r>
    </w:p>
    <w:p>
      <w:pPr>
        <w:pStyle w:val="ListBullet"/>
        <w:spacing w:after="60"/>
      </w:pPr>
      <w:r>
        <w:rPr/>
        <w:t>Supervision and verification plan (PDF)</w:t>
      </w:r>
    </w:p>
    <w:p>
      <w:pPr>
        <w:pStyle w:val="ListBullet"/>
        <w:spacing w:after="60"/>
      </w:pPr>
      <w:r>
        <w:rPr/>
        <w:t>Review comment records and close-outs at HP2 to HP6</w:t>
      </w:r>
    </w:p>
    <w:p>
      <w:pPr>
        <w:pStyle w:val="ListBullet"/>
        <w:spacing w:after="60"/>
      </w:pPr>
      <w:r>
        <w:rPr/>
        <w:t>Signed design certification for the civil design at HP6</w:t>
      </w:r>
    </w:p>
    <w:p>
      <w:pPr>
        <w:pStyle w:val="Heading1"/>
      </w:pPr>
      <w:r>
        <w:t>4.0   PROGRAM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5670"/>
      </w:tblGrid>
      <w:tr>
        <w:trPr>
          <w:tblHeader/>
          <w:cantSplit/>
        </w:trPr>
        <w:tc>
          <w:tcPr>
            <w:tcW w:type="dxa" w:w="3685"/>
            <w:shd w:val="clear" w:color="auto" w:fill="000000"/>
          </w:tcPr>
          <w:p>
            <w:r/>
            <w:r>
              <w:rPr>
                <w:b/>
                <w:color w:val="FFFFFF"/>
                <w:sz w:val="19"/>
              </w:rPr>
              <w:t>Item</w:t>
            </w:r>
          </w:p>
        </w:tc>
        <w:tc>
          <w:tcPr>
            <w:tcW w:type="dxa" w:w="5669"/>
            <w:shd w:val="clear" w:color="auto" w:fill="000000"/>
          </w:tcPr>
          <w:p>
            <w:r/>
            <w:r>
              <w:rPr>
                <w:b/>
                <w:color w:val="FFFFFF"/>
                <w:sz w:val="19"/>
              </w:rPr>
              <w:t>Date</w:t>
            </w:r>
          </w:p>
        </w:tc>
      </w:tr>
      <w:tr>
        <w:trPr>
          <w:cantSplit/>
        </w:trPr>
        <w:tc>
          <w:tcPr>
            <w:tcW w:type="dxa" w:w="3685"/>
          </w:tcPr>
          <w:p>
            <w:pPr>
              <w:spacing w:after="20"/>
            </w:pPr>
            <w:r/>
            <w:r>
              <w:rPr>
                <w:sz w:val="19"/>
              </w:rPr>
              <w:t>RFQ issued</w:t>
            </w:r>
          </w:p>
        </w:tc>
        <w:tc>
          <w:tcPr>
            <w:tcW w:type="dxa" w:w="5669"/>
          </w:tcPr>
          <w:p>
            <w:pPr>
              <w:spacing w:after="20"/>
            </w:pPr>
            <w:r/>
            <w:r>
              <w:rPr>
                <w:sz w:val="19"/>
              </w:rPr>
              <w:t>Monday 12/10/2026</w:t>
            </w:r>
          </w:p>
        </w:tc>
      </w:tr>
      <w:tr>
        <w:trPr>
          <w:cantSplit/>
        </w:trPr>
        <w:tc>
          <w:tcPr>
            <w:tcW w:type="dxa" w:w="3685"/>
            <w:shd w:val="clear" w:color="auto" w:fill="F7F1DE"/>
          </w:tcPr>
          <w:p>
            <w:pPr>
              <w:spacing w:after="20"/>
            </w:pPr>
            <w:r/>
            <w:r>
              <w:rPr>
                <w:sz w:val="19"/>
              </w:rPr>
              <w:t>Questions to JCE</w:t>
            </w:r>
          </w:p>
        </w:tc>
        <w:tc>
          <w:tcPr>
            <w:tcW w:type="dxa" w:w="5669"/>
            <w:shd w:val="clear" w:color="auto" w:fill="F7F1DE"/>
          </w:tcPr>
          <w:p>
            <w:pPr>
              <w:spacing w:after="20"/>
            </w:pPr>
            <w:r/>
            <w:r>
              <w:rPr>
                <w:sz w:val="19"/>
              </w:rPr>
              <w:t>By 5:00 pm Wednesday 14/10/2026</w:t>
            </w:r>
          </w:p>
        </w:tc>
      </w:tr>
      <w:tr>
        <w:trPr>
          <w:cantSplit/>
        </w:trPr>
        <w:tc>
          <w:tcPr>
            <w:tcW w:type="dxa" w:w="3685"/>
          </w:tcPr>
          <w:p>
            <w:pPr>
              <w:spacing w:after="20"/>
            </w:pPr>
            <w:r/>
            <w:r>
              <w:rPr>
                <w:b/>
                <w:sz w:val="19"/>
              </w:rPr>
              <w:t>Quotation due</w:t>
            </w:r>
          </w:p>
        </w:tc>
        <w:tc>
          <w:tcPr>
            <w:tcW w:type="dxa" w:w="5669"/>
          </w:tcPr>
          <w:p>
            <w:pPr>
              <w:spacing w:after="20"/>
            </w:pPr>
            <w:r/>
            <w:r>
              <w:rPr>
                <w:b/>
                <w:sz w:val="19"/>
              </w:rPr>
              <w:t>Friday 16/10/2026, 12:00 pm (AEDT)</w:t>
            </w:r>
            <w:r>
              <w:rPr>
                <w:sz w:val="19"/>
              </w:rPr>
              <w:t>, by email to jayden@jceinfrastructure.com.au</w:t>
            </w:r>
          </w:p>
        </w:tc>
      </w:tr>
      <w:tr>
        <w:trPr>
          <w:cantSplit/>
        </w:trPr>
        <w:tc>
          <w:tcPr>
            <w:tcW w:type="dxa" w:w="3685"/>
            <w:shd w:val="clear" w:color="auto" w:fill="F7F1DE"/>
          </w:tcPr>
          <w:p>
            <w:pPr>
              <w:spacing w:after="20"/>
            </w:pPr>
            <w:r/>
            <w:r>
              <w:rPr>
                <w:sz w:val="19"/>
              </w:rPr>
              <w:t>Council's tender closes</w:t>
            </w:r>
          </w:p>
        </w:tc>
        <w:tc>
          <w:tcPr>
            <w:tcW w:type="dxa" w:w="5669"/>
            <w:shd w:val="clear" w:color="auto" w:fill="F7F1DE"/>
          </w:tcPr>
          <w:p>
            <w:pPr>
              <w:spacing w:after="20"/>
            </w:pPr>
            <w:r/>
            <w:r>
              <w:rPr>
                <w:sz w:val="19"/>
              </w:rPr>
              <w:t>Friday 23/10/2026, 2:00 pm (AEDT)</w:t>
            </w:r>
          </w:p>
        </w:tc>
      </w:tr>
      <w:tr>
        <w:trPr>
          <w:cantSplit/>
        </w:trPr>
        <w:tc>
          <w:tcPr>
            <w:tcW w:type="dxa" w:w="3685"/>
          </w:tcPr>
          <w:p>
            <w:pPr>
              <w:spacing w:after="20"/>
            </w:pPr>
            <w:r/>
            <w:r>
              <w:rPr>
                <w:sz w:val="19"/>
              </w:rPr>
              <w:t>Council award (expected)</w:t>
            </w:r>
          </w:p>
        </w:tc>
        <w:tc>
          <w:tcPr>
            <w:tcW w:type="dxa" w:w="5669"/>
          </w:tcPr>
          <w:p>
            <w:pPr>
              <w:spacing w:after="20"/>
            </w:pPr>
            <w:r/>
            <w:r>
              <w:rPr>
                <w:sz w:val="19"/>
              </w:rPr>
              <w:t>Friday 06/11/2026</w:t>
            </w:r>
          </w:p>
        </w:tc>
      </w:tr>
      <w:tr>
        <w:trPr>
          <w:cantSplit/>
        </w:trPr>
        <w:tc>
          <w:tcPr>
            <w:tcW w:type="dxa" w:w="3685"/>
            <w:shd w:val="clear" w:color="auto" w:fill="F7F1DE"/>
          </w:tcPr>
          <w:p>
            <w:pPr>
              <w:spacing w:after="20"/>
            </w:pPr>
            <w:r/>
            <w:r>
              <w:rPr>
                <w:sz w:val="19"/>
              </w:rPr>
              <w:t>Inception meeting and site inspection</w:t>
            </w:r>
          </w:p>
        </w:tc>
        <w:tc>
          <w:tcPr>
            <w:tcW w:type="dxa" w:w="5669"/>
            <w:shd w:val="clear" w:color="auto" w:fill="F7F1DE"/>
          </w:tcPr>
          <w:p>
            <w:pPr>
              <w:spacing w:after="20"/>
            </w:pPr>
            <w:r/>
            <w:r>
              <w:rPr>
                <w:sz w:val="19"/>
              </w:rPr>
              <w:t>Wednesday 18/11/2026</w:t>
            </w:r>
          </w:p>
        </w:tc>
      </w:tr>
      <w:tr>
        <w:trPr>
          <w:cantSplit/>
        </w:trPr>
        <w:tc>
          <w:tcPr>
            <w:tcW w:type="dxa" w:w="3685"/>
          </w:tcPr>
          <w:p>
            <w:pPr>
              <w:spacing w:after="20"/>
            </w:pPr>
            <w:r/>
            <w:r>
              <w:rPr>
                <w:sz w:val="19"/>
              </w:rPr>
              <w:t>HP1</w:t>
            </w:r>
          </w:p>
        </w:tc>
        <w:tc>
          <w:tcPr>
            <w:tcW w:type="dxa" w:w="5669"/>
          </w:tcPr>
          <w:p>
            <w:pPr>
              <w:spacing w:after="20"/>
            </w:pPr>
            <w:r/>
            <w:r>
              <w:rPr>
                <w:sz w:val="19"/>
              </w:rPr>
              <w:t>Friday 20/11/2026</w:t>
            </w:r>
          </w:p>
        </w:tc>
      </w:tr>
      <w:tr>
        <w:trPr>
          <w:cantSplit/>
        </w:trPr>
        <w:tc>
          <w:tcPr>
            <w:tcW w:type="dxa" w:w="3685"/>
            <w:shd w:val="clear" w:color="auto" w:fill="F7F1DE"/>
          </w:tcPr>
          <w:p>
            <w:pPr>
              <w:spacing w:after="20"/>
            </w:pPr>
            <w:r/>
            <w:r>
              <w:rPr>
                <w:sz w:val="19"/>
              </w:rPr>
              <w:t>HP2 Design Basis Memorandum</w:t>
            </w:r>
          </w:p>
        </w:tc>
        <w:tc>
          <w:tcPr>
            <w:tcW w:type="dxa" w:w="5669"/>
            <w:shd w:val="clear" w:color="auto" w:fill="F7F1DE"/>
          </w:tcPr>
          <w:p>
            <w:pPr>
              <w:spacing w:after="20"/>
            </w:pPr>
            <w:r/>
            <w:r>
              <w:rPr>
                <w:sz w:val="19"/>
              </w:rPr>
              <w:t>Friday 04/12/2026</w:t>
            </w:r>
          </w:p>
        </w:tc>
      </w:tr>
      <w:tr>
        <w:trPr>
          <w:cantSplit/>
        </w:trPr>
        <w:tc>
          <w:tcPr>
            <w:tcW w:type="dxa" w:w="3685"/>
          </w:tcPr>
          <w:p>
            <w:pPr>
              <w:spacing w:after="20"/>
            </w:pPr>
            <w:r/>
            <w:r>
              <w:rPr>
                <w:sz w:val="19"/>
              </w:rPr>
              <w:t>Christmas shutdown</w:t>
            </w:r>
          </w:p>
        </w:tc>
        <w:tc>
          <w:tcPr>
            <w:tcW w:type="dxa" w:w="5669"/>
          </w:tcPr>
          <w:p>
            <w:pPr>
              <w:spacing w:after="20"/>
            </w:pPr>
            <w:r/>
            <w:r>
              <w:rPr>
                <w:sz w:val="19"/>
              </w:rPr>
              <w:t>21/12/2026 to 05/01/2027</w:t>
            </w:r>
          </w:p>
        </w:tc>
      </w:tr>
      <w:tr>
        <w:trPr>
          <w:cantSplit/>
        </w:trPr>
        <w:tc>
          <w:tcPr>
            <w:tcW w:type="dxa" w:w="3685"/>
            <w:shd w:val="clear" w:color="auto" w:fill="F7F1DE"/>
          </w:tcPr>
          <w:p>
            <w:pPr>
              <w:spacing w:after="20"/>
            </w:pPr>
            <w:r/>
            <w:r>
              <w:rPr>
                <w:sz w:val="19"/>
              </w:rPr>
              <w:t>HP3 concept and hydraulic impact review</w:t>
            </w:r>
          </w:p>
        </w:tc>
        <w:tc>
          <w:tcPr>
            <w:tcW w:type="dxa" w:w="5669"/>
            <w:shd w:val="clear" w:color="auto" w:fill="F7F1DE"/>
          </w:tcPr>
          <w:p>
            <w:pPr>
              <w:spacing w:after="20"/>
            </w:pPr>
            <w:r/>
            <w:r>
              <w:rPr>
                <w:sz w:val="19"/>
              </w:rPr>
              <w:t>Wednesday 13/01/2027</w:t>
            </w:r>
          </w:p>
        </w:tc>
      </w:tr>
      <w:tr>
        <w:trPr>
          <w:cantSplit/>
        </w:trPr>
        <w:tc>
          <w:tcPr>
            <w:tcW w:type="dxa" w:w="3685"/>
          </w:tcPr>
          <w:p>
            <w:pPr>
              <w:spacing w:after="20"/>
            </w:pPr>
            <w:r/>
            <w:r>
              <w:rPr>
                <w:sz w:val="19"/>
              </w:rPr>
              <w:t>HP4 50% design</w:t>
            </w:r>
          </w:p>
        </w:tc>
        <w:tc>
          <w:tcPr>
            <w:tcW w:type="dxa" w:w="5669"/>
          </w:tcPr>
          <w:p>
            <w:pPr>
              <w:spacing w:after="20"/>
            </w:pPr>
            <w:r/>
            <w:r>
              <w:rPr>
                <w:sz w:val="19"/>
              </w:rPr>
              <w:t>Friday 29/01/2027</w:t>
            </w:r>
          </w:p>
        </w:tc>
      </w:tr>
      <w:tr>
        <w:trPr>
          <w:cantSplit/>
        </w:trPr>
        <w:tc>
          <w:tcPr>
            <w:tcW w:type="dxa" w:w="3685"/>
            <w:shd w:val="clear" w:color="auto" w:fill="F7F1DE"/>
          </w:tcPr>
          <w:p>
            <w:pPr>
              <w:spacing w:after="20"/>
            </w:pPr>
            <w:r/>
            <w:r>
              <w:rPr>
                <w:sz w:val="19"/>
              </w:rPr>
              <w:t>HP5 80% design</w:t>
            </w:r>
          </w:p>
        </w:tc>
        <w:tc>
          <w:tcPr>
            <w:tcW w:type="dxa" w:w="5669"/>
            <w:shd w:val="clear" w:color="auto" w:fill="F7F1DE"/>
          </w:tcPr>
          <w:p>
            <w:pPr>
              <w:spacing w:after="20"/>
            </w:pPr>
            <w:r/>
            <w:r>
              <w:rPr>
                <w:sz w:val="19"/>
              </w:rPr>
              <w:t>Friday 12/02/2027</w:t>
            </w:r>
          </w:p>
        </w:tc>
      </w:tr>
      <w:tr>
        <w:trPr>
          <w:cantSplit/>
        </w:trPr>
        <w:tc>
          <w:tcPr>
            <w:tcW w:type="dxa" w:w="3685"/>
          </w:tcPr>
          <w:p>
            <w:pPr>
              <w:spacing w:after="20"/>
            </w:pPr>
            <w:r/>
            <w:r>
              <w:rPr>
                <w:b/>
                <w:sz w:val="19"/>
              </w:rPr>
              <w:t>HP6 final design and Issued for Tender package</w:t>
            </w:r>
          </w:p>
        </w:tc>
        <w:tc>
          <w:tcPr>
            <w:tcW w:type="dxa" w:w="5669"/>
          </w:tcPr>
          <w:p>
            <w:pPr>
              <w:spacing w:after="20"/>
            </w:pPr>
            <w:r/>
            <w:r>
              <w:rPr>
                <w:b/>
                <w:sz w:val="19"/>
              </w:rPr>
              <w:t>Friday 26/02/2027 (fixed by Council)</w:t>
            </w:r>
          </w:p>
        </w:tc>
      </w:tr>
      <w:tr>
        <w:trPr>
          <w:cantSplit/>
        </w:trPr>
        <w:tc>
          <w:tcPr>
            <w:tcW w:type="dxa" w:w="3685"/>
            <w:shd w:val="clear" w:color="auto" w:fill="F7F1DE"/>
          </w:tcPr>
          <w:p>
            <w:pPr>
              <w:spacing w:after="20"/>
            </w:pPr>
            <w:r/>
            <w:r>
              <w:rPr>
                <w:sz w:val="19"/>
              </w:rPr>
              <w:t>Supervision plan</w:t>
            </w:r>
          </w:p>
        </w:tc>
        <w:tc>
          <w:tcPr>
            <w:tcW w:type="dxa" w:w="5669"/>
            <w:shd w:val="clear" w:color="auto" w:fill="F7F1DE"/>
          </w:tcPr>
          <w:p>
            <w:pPr>
              <w:spacing w:after="20"/>
            </w:pPr>
            <w:r/>
            <w:r>
              <w:rPr>
                <w:sz w:val="19"/>
              </w:rPr>
              <w:t>Friday 27/11/2026</w:t>
            </w:r>
          </w:p>
        </w:tc>
      </w:tr>
      <w:tr>
        <w:trPr>
          <w:cantSplit/>
        </w:trPr>
        <w:tc>
          <w:tcPr>
            <w:tcW w:type="dxa" w:w="3685"/>
          </w:tcPr>
          <w:p>
            <w:pPr>
              <w:spacing w:after="20"/>
            </w:pPr>
            <w:r/>
            <w:r>
              <w:rPr>
                <w:sz w:val="19"/>
              </w:rPr>
              <w:t>Reviews</w:t>
            </w:r>
          </w:p>
        </w:tc>
        <w:tc>
          <w:tcPr>
            <w:tcW w:type="dxa" w:w="5669"/>
          </w:tcPr>
          <w:p>
            <w:pPr>
              <w:spacing w:after="20"/>
            </w:pPr>
            <w:r/>
            <w:r>
              <w:rPr>
                <w:sz w:val="19"/>
              </w:rPr>
              <w:t>HP2 to HP5, each within 3 business days of JCE's issue</w:t>
            </w:r>
          </w:p>
        </w:tc>
      </w:tr>
      <w:tr>
        <w:trPr>
          <w:cantSplit/>
        </w:trPr>
        <w:tc>
          <w:tcPr>
            <w:tcW w:type="dxa" w:w="3685"/>
            <w:shd w:val="clear" w:color="auto" w:fill="F7F1DE"/>
          </w:tcPr>
          <w:p>
            <w:pPr>
              <w:spacing w:after="20"/>
            </w:pPr>
            <w:r/>
            <w:r>
              <w:rPr>
                <w:sz w:val="19"/>
              </w:rPr>
              <w:t>Design approval</w:t>
            </w:r>
          </w:p>
        </w:tc>
        <w:tc>
          <w:tcPr>
            <w:tcW w:type="dxa" w:w="5669"/>
            <w:shd w:val="clear" w:color="auto" w:fill="F7F1DE"/>
          </w:tcPr>
          <w:p>
            <w:pPr>
              <w:spacing w:after="20"/>
            </w:pPr>
            <w:r/>
            <w:r>
              <w:rPr>
                <w:sz w:val="19"/>
              </w:rPr>
              <w:t>With the HP6 package, Friday 26/02/2027</w:t>
            </w:r>
          </w:p>
        </w:tc>
      </w:tr>
    </w:tbl>
    <w:p>
      <w:pPr>
        <w:spacing w:after="40"/>
      </w:pPr>
    </w:p>
    <w:p>
      <w:pPr>
        <w:pStyle w:val="Heading1"/>
      </w:pPr>
      <w:r>
        <w:t>5.0   REQUIREMENTS</w:t>
      </w:r>
    </w:p>
    <w:p>
      <w:r>
        <w:rPr>
          <w:b/>
        </w:rPr>
        <w:t>Registration.</w:t>
      </w:r>
      <w:r>
        <w:rPr/>
        <w:t xml:space="preserve"> Current registration under the Professional Engineers Registration Act 2019 (Vic) in the area of civil engineering. Please state your registration number, area and any conditions; JCE will list them in Council's Schedule F.</w:t>
      </w:r>
    </w:p>
    <w:p>
      <w:pPr>
        <w:keepNext/>
      </w:pPr>
      <w:r>
        <w:rPr>
          <w:b/>
        </w:rPr>
        <w:t>Insurance (as Council requires of JCE: Brief 1.13, Annexure Part A Items 25 to 27).</w:t>
      </w:r>
      <w:r>
        <w:rPr/>
        <w:t xml:space="preserve"> Please confirm you hold, and will maintain for the engagement:</w:t>
      </w:r>
    </w:p>
    <w:p>
      <w:pPr>
        <w:pStyle w:val="ListBullet"/>
        <w:spacing w:after="60"/>
      </w:pPr>
      <w:r>
        <w:rPr/>
        <w:t>public liability of not less than $20 million;</w:t>
      </w:r>
    </w:p>
    <w:p>
      <w:pPr>
        <w:pStyle w:val="ListBullet"/>
        <w:spacing w:after="60"/>
      </w:pPr>
      <w:r>
        <w:rPr/>
        <w:t>professional indemnity of not less than $5 million, maintained for five years after completion of the services;</w:t>
      </w:r>
    </w:p>
    <w:p>
      <w:pPr>
        <w:pStyle w:val="ListBullet"/>
        <w:spacing w:after="60"/>
      </w:pPr>
      <w:r>
        <w:rPr/>
        <w:t>workers compensation (WorkSafe Victoria or equivalent) covering all workers.</w:t>
      </w:r>
    </w:p>
    <w:p>
      <w:r>
        <w:rPr/>
        <w:t>Please attach certificates of currency. If your cover differs, state the levels you hold so JCE can raise them with Council. Council's contract states no limit on the consultant's liability.</w:t>
      </w:r>
    </w:p>
    <w:p>
      <w:r>
        <w:rPr>
          <w:b/>
        </w:rPr>
        <w:t>Work health and safety.</w:t>
      </w:r>
      <w:r>
        <w:rPr/>
        <w:t xml:space="preserve"> Compliance with the Occupational Health and Safety Act 2004 (Vic) and OHS Regulations 2017, Council's online contractor induction, and a site-specific risk assessment or SWMS for any fieldwork (work near water, traffic, underground services and private land). JCE's Subconsultant and Contractor WHS Management Procedure (JCE-WHS-PRO-009) applies.</w:t>
      </w:r>
    </w:p>
    <w:p>
      <w:r>
        <w:rPr>
          <w:b/>
        </w:rPr>
        <w:t>Independence and conflict of interest.</w:t>
      </w:r>
      <w:r>
        <w:rPr/>
        <w:t xml:space="preserve"> Please declare any actual or perceived conflict, including any current engagement with Council or NCCMA on this project, any role in the Newstead Flood Study, any relationship with landowners along the alignment, and whether you are quoting to or tendering with another party for RFQ M2025-125. You may quote to others, but please tell us, and keep JCE's information separate.</w:t>
      </w:r>
    </w:p>
    <w:p>
      <w:r>
        <w:rPr>
          <w:b/>
        </w:rPr>
        <w:t>Quality and personnel.</w:t>
      </w:r>
      <w:r>
        <w:rPr/>
        <w:t xml:space="preserve"> Internal checking of all deliverables before issue to JCE; nominate key personnel with short CVs and confirm availability for the program in Section 4.0.</w:t>
      </w:r>
    </w:p>
    <w:p>
      <w:pPr>
        <w:pStyle w:val="Heading1"/>
      </w:pPr>
      <w:r>
        <w:t>6.0   PRICING SCHEDULE</w:t>
      </w:r>
    </w:p>
    <w:p>
      <w:pPr>
        <w:keepNext/>
      </w:pPr>
      <w:r>
        <w:rPr/>
        <w:t>Please complete in AUD, excluding GST. Items marked Main are in JCE's main offer; items marked Option or Alternative A are priced separately and may not be engaged.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5670"/>
        <w:gridCol w:w="1360"/>
        <w:gridCol w:w="1530"/>
      </w:tblGrid>
      <w:tr>
        <w:trPr>
          <w:tblHeader/>
          <w:cantSplit/>
        </w:trPr>
        <w:tc>
          <w:tcPr>
            <w:tcW w:type="dxa" w:w="794"/>
            <w:shd w:val="clear" w:color="auto" w:fill="000000"/>
          </w:tcPr>
          <w:p>
            <w:pPr>
              <w:keepNext/>
            </w:pPr>
            <w:r/>
            <w:r>
              <w:rPr>
                <w:b/>
                <w:color w:val="FFFFFF"/>
                <w:sz w:val="19"/>
              </w:rPr>
              <w:t>Item</w:t>
            </w:r>
          </w:p>
        </w:tc>
        <w:tc>
          <w:tcPr>
            <w:tcW w:type="dxa" w:w="5669"/>
            <w:shd w:val="clear" w:color="auto" w:fill="000000"/>
          </w:tcPr>
          <w:p>
            <w:pPr>
              <w:keepNext/>
            </w:pPr>
            <w:r/>
            <w:r>
              <w:rPr>
                <w:b/>
                <w:color w:val="FFFFFF"/>
                <w:sz w:val="19"/>
              </w:rPr>
              <w:t>Description</w:t>
            </w:r>
          </w:p>
        </w:tc>
        <w:tc>
          <w:tcPr>
            <w:tcW w:type="dxa" w:w="1361"/>
            <w:shd w:val="clear" w:color="auto" w:fill="000000"/>
          </w:tcPr>
          <w:p>
            <w:pPr>
              <w:keepNext/>
            </w:pPr>
            <w:r/>
            <w:r>
              <w:rPr>
                <w:b/>
                <w:color w:val="FFFFFF"/>
                <w:sz w:val="19"/>
              </w:rPr>
              <w:t>Basis</w:t>
            </w:r>
          </w:p>
        </w:tc>
        <w:tc>
          <w:tcPr>
            <w:tcW w:type="dxa" w:w="1531"/>
            <w:shd w:val="clear" w:color="auto" w:fill="000000"/>
          </w:tcPr>
          <w:p>
            <w:pPr>
              <w:keepNext/>
            </w:pPr>
            <w:r/>
            <w:r>
              <w:rPr>
                <w:b/>
                <w:color w:val="FFFFFF"/>
                <w:sz w:val="19"/>
              </w:rPr>
              <w:t>Price (excl. GST)</w:t>
            </w:r>
          </w:p>
        </w:tc>
      </w:tr>
      <w:tr>
        <w:trPr>
          <w:cantSplit/>
        </w:trPr>
        <w:tc>
          <w:tcPr>
            <w:tcW w:type="dxa" w:w="794"/>
          </w:tcPr>
          <w:p>
            <w:pPr>
              <w:keepNext/>
              <w:spacing w:after="20"/>
            </w:pPr>
            <w:r/>
            <w:r>
              <w:rPr>
                <w:sz w:val="19"/>
              </w:rPr>
              <w:t>C1</w:t>
            </w:r>
          </w:p>
        </w:tc>
        <w:tc>
          <w:tcPr>
            <w:tcW w:type="dxa" w:w="5669"/>
          </w:tcPr>
          <w:p>
            <w:pPr>
              <w:keepNext/>
              <w:spacing w:after="20"/>
            </w:pPr>
            <w:r/>
            <w:r>
              <w:rPr>
                <w:sz w:val="19"/>
              </w:rPr>
              <w:t>Supervision plan and DBM review</w:t>
            </w:r>
          </w:p>
        </w:tc>
        <w:tc>
          <w:tcPr>
            <w:tcW w:type="dxa" w:w="1361"/>
          </w:tcPr>
          <w:p>
            <w:pPr>
              <w:keepNext/>
              <w:spacing w:after="20"/>
            </w:pPr>
            <w:r/>
            <w:r>
              <w:rPr>
                <w:sz w:val="19"/>
              </w:rPr>
              <w:t>Main,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C2</w:t>
            </w:r>
          </w:p>
        </w:tc>
        <w:tc>
          <w:tcPr>
            <w:tcW w:type="dxa" w:w="5669"/>
            <w:shd w:val="clear" w:color="auto" w:fill="F7F1DE"/>
          </w:tcPr>
          <w:p>
            <w:pPr>
              <w:keepNext/>
              <w:spacing w:after="20"/>
            </w:pPr>
            <w:r/>
            <w:r>
              <w:rPr>
                <w:sz w:val="19"/>
              </w:rPr>
              <w:t>Concept review (HP3)</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r>
              <w:rPr>
                <w:sz w:val="19"/>
              </w:rPr>
              <w:t>C3</w:t>
            </w:r>
          </w:p>
        </w:tc>
        <w:tc>
          <w:tcPr>
            <w:tcW w:type="dxa" w:w="5669"/>
          </w:tcPr>
          <w:p>
            <w:pPr>
              <w:keepNext/>
              <w:spacing w:after="20"/>
            </w:pPr>
            <w:r/>
            <w:r>
              <w:rPr>
                <w:sz w:val="19"/>
              </w:rPr>
              <w:t>50% and 80% reviews</w:t>
            </w:r>
          </w:p>
        </w:tc>
        <w:tc>
          <w:tcPr>
            <w:tcW w:type="dxa" w:w="1361"/>
          </w:tcPr>
          <w:p>
            <w:pPr>
              <w:keepNext/>
              <w:spacing w:after="20"/>
            </w:pPr>
            <w:r/>
            <w:r>
              <w:rPr>
                <w:sz w:val="19"/>
              </w:rPr>
              <w:t>Main,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C4</w:t>
            </w:r>
          </w:p>
        </w:tc>
        <w:tc>
          <w:tcPr>
            <w:tcW w:type="dxa" w:w="5669"/>
            <w:shd w:val="clear" w:color="auto" w:fill="F7F1DE"/>
          </w:tcPr>
          <w:p>
            <w:pPr>
              <w:keepNext/>
              <w:spacing w:after="20"/>
            </w:pPr>
            <w:r/>
            <w:r>
              <w:rPr>
                <w:sz w:val="19"/>
              </w:rPr>
              <w:t>Final review and design approval</w:t>
            </w:r>
          </w:p>
        </w:tc>
        <w:tc>
          <w:tcPr>
            <w:tcW w:type="dxa" w:w="1361"/>
            <w:shd w:val="clear" w:color="auto" w:fill="F7F1DE"/>
          </w:tcPr>
          <w:p>
            <w:pPr>
              <w:keepNext/>
              <w:spacing w:after="20"/>
            </w:pPr>
            <w:r/>
            <w:r>
              <w:rPr>
                <w:sz w:val="19"/>
              </w:rPr>
              <w:t>Main,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p>
        </w:tc>
        <w:tc>
          <w:tcPr>
            <w:tcW w:type="dxa" w:w="5669"/>
          </w:tcPr>
          <w:p>
            <w:pPr>
              <w:keepNext/>
              <w:spacing w:after="20"/>
            </w:pPr>
            <w:r/>
            <w:r>
              <w:rPr>
                <w:b/>
                <w:sz w:val="19"/>
              </w:rPr>
              <w:t>Main offer total (C1 to C4)</w:t>
            </w:r>
          </w:p>
        </w:tc>
        <w:tc>
          <w:tcPr>
            <w:tcW w:type="dxa" w:w="1361"/>
          </w:tcPr>
          <w:p>
            <w:pPr>
              <w:keepNext/>
              <w:spacing w:after="20"/>
            </w:pPr>
            <w:r/>
          </w:p>
        </w:tc>
        <w:tc>
          <w:tcPr>
            <w:tcW w:type="dxa" w:w="1531"/>
          </w:tcPr>
          <w:p>
            <w:pPr>
              <w:keepNext/>
              <w:spacing w:after="20"/>
            </w:pPr>
            <w:r/>
            <w:r>
              <w:rPr>
                <w:b/>
                <w:sz w:val="19"/>
              </w:rPr>
              <w:t>$</w:t>
            </w:r>
          </w:p>
        </w:tc>
      </w:tr>
      <w:tr>
        <w:trPr>
          <w:cantSplit/>
        </w:trPr>
        <w:tc>
          <w:tcPr>
            <w:tcW w:type="dxa" w:w="794"/>
            <w:shd w:val="clear" w:color="auto" w:fill="F7F1DE"/>
          </w:tcPr>
          <w:p>
            <w:pPr>
              <w:keepNext/>
              <w:spacing w:after="20"/>
            </w:pPr>
            <w:r/>
            <w:r>
              <w:rPr>
                <w:sz w:val="19"/>
              </w:rPr>
              <w:t>C5</w:t>
            </w:r>
          </w:p>
        </w:tc>
        <w:tc>
          <w:tcPr>
            <w:tcW w:type="dxa" w:w="5669"/>
            <w:shd w:val="clear" w:color="auto" w:fill="F7F1DE"/>
          </w:tcPr>
          <w:p>
            <w:pPr>
              <w:keepNext/>
              <w:spacing w:after="20"/>
            </w:pPr>
            <w:r/>
            <w:r>
              <w:rPr>
                <w:sz w:val="19"/>
              </w:rPr>
              <w:t>Site attendance at Newstead</w:t>
            </w:r>
          </w:p>
        </w:tc>
        <w:tc>
          <w:tcPr>
            <w:tcW w:type="dxa" w:w="1361"/>
            <w:shd w:val="clear" w:color="auto" w:fill="F7F1DE"/>
          </w:tcPr>
          <w:p>
            <w:pPr>
              <w:keepNext/>
              <w:spacing w:after="20"/>
            </w:pPr>
            <w:r/>
            <w:r>
              <w:rPr>
                <w:sz w:val="19"/>
              </w:rPr>
              <w:t>Option, per visit</w:t>
            </w:r>
          </w:p>
        </w:tc>
        <w:tc>
          <w:tcPr>
            <w:tcW w:type="dxa" w:w="1531"/>
            <w:shd w:val="clear" w:color="auto" w:fill="F7F1DE"/>
          </w:tcPr>
          <w:p>
            <w:pPr>
              <w:keepNext/>
              <w:spacing w:after="20"/>
            </w:pPr>
            <w:r/>
            <w:r>
              <w:rPr>
                <w:sz w:val="19"/>
              </w:rPr>
              <w:t>$</w:t>
            </w:r>
          </w:p>
        </w:tc>
      </w:tr>
      <w:tr>
        <w:trPr>
          <w:cantSplit/>
        </w:trPr>
        <w:tc>
          <w:tcPr>
            <w:tcW w:type="dxa" w:w="794"/>
          </w:tcPr>
          <w:p>
            <w:pPr>
              <w:spacing w:after="20"/>
            </w:pPr>
            <w:r/>
            <w:r>
              <w:rPr>
                <w:sz w:val="19"/>
              </w:rPr>
              <w:t>C6</w:t>
            </w:r>
          </w:p>
        </w:tc>
        <w:tc>
          <w:tcPr>
            <w:tcW w:type="dxa" w:w="5669"/>
          </w:tcPr>
          <w:p>
            <w:pPr>
              <w:spacing w:after="20"/>
            </w:pPr>
            <w:r/>
            <w:r>
              <w:rPr>
                <w:sz w:val="19"/>
              </w:rPr>
              <w:t>Tender-period RFI support</w:t>
            </w:r>
          </w:p>
        </w:tc>
        <w:tc>
          <w:tcPr>
            <w:tcW w:type="dxa" w:w="1361"/>
          </w:tcPr>
          <w:p>
            <w:pPr>
              <w:spacing w:after="20"/>
            </w:pPr>
            <w:r/>
            <w:r>
              <w:rPr>
                <w:sz w:val="19"/>
              </w:rPr>
              <w:t>Option, hourly</w:t>
            </w:r>
          </w:p>
        </w:tc>
        <w:tc>
          <w:tcPr>
            <w:tcW w:type="dxa" w:w="1531"/>
          </w:tcPr>
          <w:p>
            <w:pPr>
              <w:spacing w:after="20"/>
            </w:pPr>
            <w:r/>
            <w:r>
              <w:rPr>
                <w:sz w:val="19"/>
              </w:rPr>
              <w:t>$ / hr</w:t>
            </w:r>
          </w:p>
        </w:tc>
      </w:tr>
    </w:tbl>
    <w:p>
      <w:pPr>
        <w:spacing w:after="40"/>
      </w:pPr>
    </w:p>
    <w:p>
      <w:r>
        <w:rPr/>
        <w:t>JCE's main offer carries an allowance of $9,000 excluding GST (before JCE's margin) for C1 to C4.</w:t>
      </w:r>
    </w:p>
    <w:p>
      <w:pPr>
        <w:pStyle w:val="Heading1"/>
      </w:pPr>
      <w:r>
        <w:t>6.1   QUOTATION CONTENT AND VALIDITY</w:t>
      </w:r>
    </w:p>
    <w:p>
      <w:pPr>
        <w:pStyle w:val="ListBullet"/>
        <w:spacing w:after="60"/>
      </w:pPr>
      <w:r>
        <w:rPr/>
        <w:t>Lump sums against each item in Section 6.0, in AUD excluding GST, using the same item references.</w:t>
      </w:r>
    </w:p>
    <w:p>
      <w:pPr>
        <w:pStyle w:val="ListBullet"/>
        <w:spacing w:after="60"/>
      </w:pPr>
      <w:r>
        <w:rPr/>
        <w:t>A schedule of hourly rates by role for variations (these go into Council's Schedule D).</w:t>
      </w:r>
    </w:p>
    <w:p>
      <w:pPr>
        <w:pStyle w:val="ListBullet"/>
        <w:spacing w:after="60"/>
      </w:pPr>
      <w:r>
        <w:rPr/>
        <w:t>Disbursements (travel, accommodation, equipment, laboratory), included or listed separately.</w:t>
      </w:r>
    </w:p>
    <w:p>
      <w:pPr>
        <w:pStyle w:val="ListBullet"/>
        <w:spacing w:after="60"/>
      </w:pPr>
      <w:r>
        <w:rPr/>
        <w:t>Inclusions, exclusions and assumptions.</w:t>
      </w:r>
    </w:p>
    <w:p>
      <w:pPr>
        <w:pStyle w:val="ListBullet"/>
        <w:spacing w:after="60"/>
      </w:pPr>
      <w:r>
        <w:rPr/>
        <w:t>Validity of at least ninety (90) days from the quotation due date (to 14/01/2027). Council may negotiate for 60 days after close and expects to award on 06/11/2026.</w:t>
      </w:r>
    </w:p>
    <w:p>
      <w:pPr>
        <w:pStyle w:val="Heading1"/>
      </w:pPr>
      <w:r>
        <w:t>7.0   CONFIDENTIALITY</w:t>
      </w:r>
    </w:p>
    <w:p>
      <w:r>
        <w:rPr/>
        <w:t>This request and the tender information attached are confidential. They are issued only so you can quote to JCE and must not be used for any other purpose or disclosed to anyone else, other than your insurers and advisers on a confidential basis. Please do not contact Council or Councillors about the RFQ (canvassing disqualifies tenderers); direct all questions to JCE. If you are not engaged, please delete or return the information on request.</w:t>
      </w:r>
    </w:p>
    <w:p>
      <w:pPr>
        <w:pStyle w:val="Heading1"/>
      </w:pPr>
      <w:r>
        <w:t>8.0   BASIS OF ENGAGEMENT</w:t>
      </w:r>
    </w:p>
    <w:p>
      <w:r>
        <w:rPr/>
        <w:t>Any engagement depends on Council awarding the contract for RFQ M2025-125 to JCE. If engaged, you will be appointed under a sub-consultant agreement with JCE that passes down the relevant terms of JCE's AS 4122:2010 contract with Council (laws of Victoria), including scope, program, insurance, confidentiality, intellectual property (all outputs and data vest in NCCMA and Council, Brief 1.11) and payment within 30 business days of JCE's claim being accepted. Provisional sum items proceed only on Council's prior written direction. JCE is not obliged to accept the lowest or any quotation, and no payment is made for preparing a quotation.</w:t>
      </w:r>
    </w:p>
    <w:p>
      <w:pPr>
        <w:keepNext/>
      </w:pPr>
      <w:r>
        <w:rPr/>
        <w:t>Please contact me on 0477 207 027 to discuss the scope.</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Pr>
      <w:r>
        <w:t>ATTACHMENTS</w:t>
      </w:r>
    </w:p>
    <w:p>
      <w:pPr>
        <w:pStyle w:val="ListBullet"/>
        <w:spacing w:after="60"/>
      </w:pPr>
      <w:r>
        <w:rPr/>
        <w:t>Attachment_1-Project_Brief_and_General_Specification.pdf (Council's Project Brief, in full)</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JCE-RFQ-VP527574-RE Rev C  |  Direct supervision and approval of the civil design (Registered Professional Engineer, Victoria, Civil)  |  Newstead Levee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