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200"/>
        <w:pBdr>
          <w:bottom w:val="single" w:sz="12" w:space="1" w:color="C9A227"/>
        </w:pBdr>
      </w:pPr>
      <w:r>
        <w:rPr>
          <w:color w:val="404040"/>
          <w:sz w:val="18"/>
        </w:rPr>
        <w:t>ABN 29 699 165 663  |  0477 207 027  |  jayden@jceinfrastructure.com.au  |  jceinfrastructure.com.au</w:t>
      </w:r>
    </w:p>
    <w:p>
      <w:r>
        <w:rPr>
          <w:color w:val="404040"/>
          <w:sz w:val="18"/>
        </w:rPr>
        <w:t>Request for quotation JCE-RFQ-VP527574-FM Rev C (FINAL)  |  Date: 12/10/2026  |  To: invited sub-consultant (named in the covering email)</w:t>
      </w:r>
    </w:p>
    <w:p>
      <w:r>
        <w:rPr>
          <w:b/>
        </w:rPr>
        <w:t>Request for quotation: Floodplain modelling and hydraulic impact assessment</w:t>
      </w:r>
    </w:p>
    <w:p>
      <w:r>
        <w:rPr>
          <w:b/>
        </w:rPr>
        <w:t>Newstead Levee Design 26/27, Mount Alexander Shire Council RFQ M2025-125</w:t>
      </w:r>
    </w:p>
    <w:p>
      <w:r>
        <w:rPr/>
        <w:t xml:space="preserve">JCE Infrastructure Pty Ltd (JCE) invites you to quote for the work below as a sub-consultant to JCE. </w:t>
      </w:r>
      <w:r>
        <w:rPr>
          <w:b/>
        </w:rPr>
        <w:t>Quotations are due by Friday 16/10/2026, 12:00 pm (AEDT).</w:t>
      </w:r>
    </w:p>
    <w:p>
      <w:pPr>
        <w:pStyle w:val="Heading1"/>
      </w:pPr>
      <w:r>
        <w:t>1.0   PROJECT AND TENDER</w:t>
      </w:r>
    </w:p>
    <w:p>
      <w:r>
        <w:rPr/>
        <w:t xml:space="preserve">Mount Alexander Shire Council has invited quotations under </w:t>
      </w:r>
      <w:r>
        <w:rPr>
          <w:b/>
        </w:rPr>
        <w:t>RFQ M2025-125</w:t>
      </w:r>
      <w:r>
        <w:rPr/>
        <w:t xml:space="preserve"> (VendorPanel VP527574) for the detailed design, approvals support, documentation and construction tender package for the Newstead levee. The tender closes at 2:00 pm (AEDT) on Friday 23/10/2026. It is a fixed-price lump sum under AS 4122:2010, and the final package is due on Friday 26/02/2027.</w:t>
      </w:r>
    </w:p>
    <w:p>
      <w:r>
        <w:rPr>
          <w:b/>
        </w:rPr>
        <w:t>The levee.</w:t>
      </w:r>
      <w:r>
        <w:rPr/>
        <w:t xml:space="preserve"> The 1920s earthen levee on the east bank of the Loddon River at Newstead is about 1.5 km long. A 2017 risk assessment found it vulnerable to overtopping, slumping, piping and foundation seepage, with the southern section at extreme risk in a 1% AEP event. In May 2026 Council approved Mitigation Option 6b (raised, extended and realigned levee, Brief Appendix 2), based on Water Technology's Newstead Flood Study (RORB and TUFLOW models). Option 6b extends the northern end along Mia Mia Creek and realigns the southern end. The study reports flood level increases of up to 400 mm west of the river and a large fill volume, which the design must reduce.</w:t>
      </w:r>
    </w:p>
    <w:p>
      <w:r>
        <w:rPr>
          <w:b/>
        </w:rPr>
        <w:t>Budget and JCE's approach.</w:t>
      </w:r>
      <w:r>
        <w:rPr/>
        <w:t xml:space="preserve"> Council's indicative budget is $125,000 including GST for the whole commission (Brief 1.8). JCE is therefore quoting a lean main offer built on the existing TUFLOW model and NCCMA LiDAR, with investigations as provisional sums that proceed only on Council's written direction, and a fuller scope as an alternative. Please price the main items and the options separately, as set out in Section 6.0.</w:t>
      </w:r>
    </w:p>
    <w:p>
      <w:r>
        <w:rPr>
          <w:b/>
        </w:rPr>
        <w:t>Hold points (Brief 1.5):</w:t>
      </w:r>
      <w:r>
        <w:rPr/>
        <w:t xml:space="preserve"> HP1 program and information gap register; HP2 Design Basis Memorandum; HP3 concept alignment and hydraulic impact review; HP4 50% design; HP5 80% design; HP6 final design and Issued for Tender package with design certification.</w:t>
      </w:r>
    </w:p>
    <w:p>
      <w:r>
        <w:rPr>
          <w:b/>
        </w:rPr>
        <w:t>JCE's role.</w:t>
      </w:r>
      <w:r>
        <w:rPr/>
        <w:t xml:space="preserve"> JCE Infrastructure is tendering as lead consultant (project management, civil and hydraulic design, specification, quantities and estimate). You would be engaged as a sub-consultant to JCE.</w:t>
      </w:r>
    </w:p>
    <w:p>
      <w:pPr>
        <w:pStyle w:val="Heading1"/>
      </w:pPr>
      <w:r>
        <w:t>2.0   SCOPE OF SERVICES</w:t>
      </w:r>
    </w:p>
    <w:p>
      <w:pPr>
        <w:keepNext/>
      </w:pPr>
      <w:r>
        <w:rPr/>
        <w:t>Building on Water Technology's calibrated Newstead Flood Study models (supplied by Council at award, with any licence conditions):</w:t>
      </w:r>
    </w:p>
    <w:p>
      <w:pPr>
        <w:pStyle w:val="ListBullet"/>
        <w:spacing w:after="60"/>
      </w:pPr>
      <w:r>
        <w:rPr>
          <w:b/>
        </w:rPr>
        <w:t>F1 (Main) Model review and design criteria advice:</w:t>
      </w:r>
      <w:r>
        <w:rPr/>
        <w:t xml:space="preserve"> confirm the TUFLOW model is fit for design use without recalibration; check version, boundaries, structures and roughness near the levee; advise on design event (1% AEP with the study's 2030 climate allowance), freeboard (Victorian Levee Management Guidelines 2015, NCCMA expectations) and the controlled overtopping section; input to the Design Basis Memorandum (HP2), including a desktop view on the two northern variants from existing results.</w:t>
      </w:r>
    </w:p>
    <w:p>
      <w:pPr>
        <w:pStyle w:val="ListBullet"/>
        <w:spacing w:after="60"/>
      </w:pPr>
      <w:r>
        <w:rPr>
          <w:b/>
        </w:rPr>
        <w:t>F2 (Main) Concept design case (HP3):</w:t>
      </w:r>
      <w:r>
        <w:rPr/>
        <w:t xml:space="preserve"> existing case updated with JCE's surveyed crest; one design-case set for the preferred Option 6b alignment plus one sensitivity test; flood level, depth, velocity, hazard and difference mapping; property impact table using surveyed floor levels (up to 20 properties); short HP3 hydraulic impact memorandum suitable for Council, NCCMA and community communication.</w:t>
      </w:r>
    </w:p>
    <w:p>
      <w:pPr>
        <w:pStyle w:val="ListBullet"/>
        <w:spacing w:after="60"/>
      </w:pPr>
      <w:r>
        <w:rPr>
          <w:b/>
        </w:rPr>
        <w:t>F3 (Main) Final check and report (HP6):</w:t>
      </w:r>
      <w:r>
        <w:rPr/>
        <w:t xml:space="preserve"> final design-case run; certified hydraulic impact assessment and modelling technical note; GIS and model outputs; tailwater levels and velocities for JCE's outlet and scour design.</w:t>
      </w:r>
    </w:p>
    <w:p>
      <w:pPr>
        <w:pStyle w:val="ListBullet"/>
        <w:spacing w:after="60"/>
      </w:pPr>
      <w:r>
        <w:rPr>
          <w:b/>
        </w:rPr>
        <w:t>F4 (Main) Meetings:</w:t>
      </w:r>
      <w:r>
        <w:rPr/>
        <w:t xml:space="preserve"> HP2 and HP3 reviews and one NCCMA meeting, all online.</w:t>
      </w:r>
    </w:p>
    <w:p>
      <w:pPr>
        <w:pStyle w:val="ListBullet"/>
        <w:spacing w:after="60"/>
      </w:pPr>
      <w:r>
        <w:rPr>
          <w:b/>
        </w:rPr>
        <w:t>F5 (Alternative A) Second concept iteration</w:t>
      </w:r>
      <w:r>
        <w:rPr/>
        <w:t xml:space="preserve"> for a second alignment variant.</w:t>
      </w:r>
    </w:p>
    <w:p>
      <w:pPr>
        <w:pStyle w:val="ListBullet"/>
        <w:spacing w:after="60"/>
      </w:pPr>
      <w:r>
        <w:rPr>
          <w:b/>
        </w:rPr>
        <w:t>F6 (Alternative A) Residual risk:</w:t>
      </w:r>
      <w:r>
        <w:rPr/>
        <w:t xml:space="preserve"> overtopping and breach scenarios (two breach locations, 1% AEP and one rarer event).</w:t>
      </w:r>
    </w:p>
    <w:p>
      <w:pPr>
        <w:pStyle w:val="ListBullet"/>
        <w:spacing w:after="60"/>
      </w:pPr>
      <w:r>
        <w:rPr>
          <w:b/>
        </w:rPr>
        <w:t>F7 (Alternative A) Internal drainage ponding</w:t>
      </w:r>
      <w:r>
        <w:rPr/>
        <w:t xml:space="preserve"> behind the levee with outlets closed.</w:t>
      </w:r>
    </w:p>
    <w:p>
      <w:pPr>
        <w:pStyle w:val="ListBullet"/>
        <w:spacing w:after="60"/>
      </w:pPr>
      <w:r>
        <w:rPr>
          <w:b/>
        </w:rPr>
        <w:t>F8 (Option) Each additional design-case run</w:t>
      </w:r>
      <w:r>
        <w:rPr/>
        <w:t xml:space="preserve"> after HP3, if directed.</w:t>
      </w:r>
    </w:p>
    <w:p>
      <w:pPr>
        <w:pStyle w:val="Heading1"/>
      </w:pPr>
      <w:r>
        <w:t>3.0   DELIVERABLES</w:t>
      </w:r>
    </w:p>
    <w:p>
      <w:pPr>
        <w:pStyle w:val="ListBullet"/>
        <w:spacing w:after="60"/>
      </w:pPr>
      <w:r>
        <w:rPr/>
        <w:t>Model review and design criteria memo (PDF)</w:t>
      </w:r>
    </w:p>
    <w:p>
      <w:pPr>
        <w:pStyle w:val="ListBullet"/>
        <w:spacing w:after="60"/>
      </w:pPr>
      <w:r>
        <w:rPr/>
        <w:t>HP3 hydraulic impact memorandum with maps and property table (PDF)</w:t>
      </w:r>
    </w:p>
    <w:p>
      <w:pPr>
        <w:pStyle w:val="ListBullet"/>
        <w:spacing w:after="60"/>
      </w:pPr>
      <w:r>
        <w:rPr/>
        <w:t>Final hydraulic impact assessment and technical note, certified by a Victorian registered engineer (PDF)</w:t>
      </w:r>
    </w:p>
    <w:p>
      <w:pPr>
        <w:pStyle w:val="ListBullet"/>
        <w:spacing w:after="60"/>
      </w:pPr>
      <w:r>
        <w:rPr/>
        <w:t>GIS mapping and model files for Council; flood surfaces and tailwater data for JCE (ASCII grid, shapefile or 12da as agreed)</w:t>
      </w:r>
    </w:p>
    <w:p>
      <w:pPr>
        <w:pStyle w:val="Heading1"/>
      </w:pPr>
      <w:r>
        <w:t>4.0   PROGRAM</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85"/>
        <w:gridCol w:w="5670"/>
      </w:tblGrid>
      <w:tr>
        <w:trPr>
          <w:tblHeader/>
          <w:cantSplit/>
        </w:trPr>
        <w:tc>
          <w:tcPr>
            <w:tcW w:type="dxa" w:w="3685"/>
            <w:shd w:val="clear" w:color="auto" w:fill="000000"/>
          </w:tcPr>
          <w:p>
            <w:r/>
            <w:r>
              <w:rPr>
                <w:b/>
                <w:color w:val="FFFFFF"/>
                <w:sz w:val="19"/>
              </w:rPr>
              <w:t>Item</w:t>
            </w:r>
          </w:p>
        </w:tc>
        <w:tc>
          <w:tcPr>
            <w:tcW w:type="dxa" w:w="5669"/>
            <w:shd w:val="clear" w:color="auto" w:fill="000000"/>
          </w:tcPr>
          <w:p>
            <w:r/>
            <w:r>
              <w:rPr>
                <w:b/>
                <w:color w:val="FFFFFF"/>
                <w:sz w:val="19"/>
              </w:rPr>
              <w:t>Date</w:t>
            </w:r>
          </w:p>
        </w:tc>
      </w:tr>
      <w:tr>
        <w:trPr>
          <w:cantSplit/>
        </w:trPr>
        <w:tc>
          <w:tcPr>
            <w:tcW w:type="dxa" w:w="3685"/>
          </w:tcPr>
          <w:p>
            <w:pPr>
              <w:spacing w:after="20"/>
            </w:pPr>
            <w:r/>
            <w:r>
              <w:rPr>
                <w:sz w:val="19"/>
              </w:rPr>
              <w:t>RFQ issued</w:t>
            </w:r>
          </w:p>
        </w:tc>
        <w:tc>
          <w:tcPr>
            <w:tcW w:type="dxa" w:w="5669"/>
          </w:tcPr>
          <w:p>
            <w:pPr>
              <w:spacing w:after="20"/>
            </w:pPr>
            <w:r/>
            <w:r>
              <w:rPr>
                <w:sz w:val="19"/>
              </w:rPr>
              <w:t>Monday 12/10/2026</w:t>
            </w:r>
          </w:p>
        </w:tc>
      </w:tr>
      <w:tr>
        <w:trPr>
          <w:cantSplit/>
        </w:trPr>
        <w:tc>
          <w:tcPr>
            <w:tcW w:type="dxa" w:w="3685"/>
            <w:shd w:val="clear" w:color="auto" w:fill="F7F1DE"/>
          </w:tcPr>
          <w:p>
            <w:pPr>
              <w:spacing w:after="20"/>
            </w:pPr>
            <w:r/>
            <w:r>
              <w:rPr>
                <w:sz w:val="19"/>
              </w:rPr>
              <w:t>Questions to JCE</w:t>
            </w:r>
          </w:p>
        </w:tc>
        <w:tc>
          <w:tcPr>
            <w:tcW w:type="dxa" w:w="5669"/>
            <w:shd w:val="clear" w:color="auto" w:fill="F7F1DE"/>
          </w:tcPr>
          <w:p>
            <w:pPr>
              <w:spacing w:after="20"/>
            </w:pPr>
            <w:r/>
            <w:r>
              <w:rPr>
                <w:sz w:val="19"/>
              </w:rPr>
              <w:t>By 5:00 pm Wednesday 14/10/2026</w:t>
            </w:r>
          </w:p>
        </w:tc>
      </w:tr>
      <w:tr>
        <w:trPr>
          <w:cantSplit/>
        </w:trPr>
        <w:tc>
          <w:tcPr>
            <w:tcW w:type="dxa" w:w="3685"/>
          </w:tcPr>
          <w:p>
            <w:pPr>
              <w:spacing w:after="20"/>
            </w:pPr>
            <w:r/>
            <w:r>
              <w:rPr>
                <w:b/>
                <w:sz w:val="19"/>
              </w:rPr>
              <w:t>Quotation due</w:t>
            </w:r>
          </w:p>
        </w:tc>
        <w:tc>
          <w:tcPr>
            <w:tcW w:type="dxa" w:w="5669"/>
          </w:tcPr>
          <w:p>
            <w:pPr>
              <w:spacing w:after="20"/>
            </w:pPr>
            <w:r/>
            <w:r>
              <w:rPr>
                <w:b/>
                <w:sz w:val="19"/>
              </w:rPr>
              <w:t>Friday 16/10/2026, 12:00 pm (AEDT)</w:t>
            </w:r>
            <w:r>
              <w:rPr>
                <w:sz w:val="19"/>
              </w:rPr>
              <w:t>, by email to jayden@jceinfrastructure.com.au</w:t>
            </w:r>
          </w:p>
        </w:tc>
      </w:tr>
      <w:tr>
        <w:trPr>
          <w:cantSplit/>
        </w:trPr>
        <w:tc>
          <w:tcPr>
            <w:tcW w:type="dxa" w:w="3685"/>
            <w:shd w:val="clear" w:color="auto" w:fill="F7F1DE"/>
          </w:tcPr>
          <w:p>
            <w:pPr>
              <w:spacing w:after="20"/>
            </w:pPr>
            <w:r/>
            <w:r>
              <w:rPr>
                <w:sz w:val="19"/>
              </w:rPr>
              <w:t>Council's tender closes</w:t>
            </w:r>
          </w:p>
        </w:tc>
        <w:tc>
          <w:tcPr>
            <w:tcW w:type="dxa" w:w="5669"/>
            <w:shd w:val="clear" w:color="auto" w:fill="F7F1DE"/>
          </w:tcPr>
          <w:p>
            <w:pPr>
              <w:spacing w:after="20"/>
            </w:pPr>
            <w:r/>
            <w:r>
              <w:rPr>
                <w:sz w:val="19"/>
              </w:rPr>
              <w:t>Friday 23/10/2026, 2:00 pm (AEDT)</w:t>
            </w:r>
          </w:p>
        </w:tc>
      </w:tr>
      <w:tr>
        <w:trPr>
          <w:cantSplit/>
        </w:trPr>
        <w:tc>
          <w:tcPr>
            <w:tcW w:type="dxa" w:w="3685"/>
          </w:tcPr>
          <w:p>
            <w:pPr>
              <w:spacing w:after="20"/>
            </w:pPr>
            <w:r/>
            <w:r>
              <w:rPr>
                <w:sz w:val="19"/>
              </w:rPr>
              <w:t>Council award (expected)</w:t>
            </w:r>
          </w:p>
        </w:tc>
        <w:tc>
          <w:tcPr>
            <w:tcW w:type="dxa" w:w="5669"/>
          </w:tcPr>
          <w:p>
            <w:pPr>
              <w:spacing w:after="20"/>
            </w:pPr>
            <w:r/>
            <w:r>
              <w:rPr>
                <w:sz w:val="19"/>
              </w:rPr>
              <w:t>Friday 06/11/2026</w:t>
            </w:r>
          </w:p>
        </w:tc>
      </w:tr>
      <w:tr>
        <w:trPr>
          <w:cantSplit/>
        </w:trPr>
        <w:tc>
          <w:tcPr>
            <w:tcW w:type="dxa" w:w="3685"/>
            <w:shd w:val="clear" w:color="auto" w:fill="F7F1DE"/>
          </w:tcPr>
          <w:p>
            <w:pPr>
              <w:spacing w:after="20"/>
            </w:pPr>
            <w:r/>
            <w:r>
              <w:rPr>
                <w:sz w:val="19"/>
              </w:rPr>
              <w:t>Inception meeting and site inspection</w:t>
            </w:r>
          </w:p>
        </w:tc>
        <w:tc>
          <w:tcPr>
            <w:tcW w:type="dxa" w:w="5669"/>
            <w:shd w:val="clear" w:color="auto" w:fill="F7F1DE"/>
          </w:tcPr>
          <w:p>
            <w:pPr>
              <w:spacing w:after="20"/>
            </w:pPr>
            <w:r/>
            <w:r>
              <w:rPr>
                <w:sz w:val="19"/>
              </w:rPr>
              <w:t>Wednesday 18/11/2026</w:t>
            </w:r>
          </w:p>
        </w:tc>
      </w:tr>
      <w:tr>
        <w:trPr>
          <w:cantSplit/>
        </w:trPr>
        <w:tc>
          <w:tcPr>
            <w:tcW w:type="dxa" w:w="3685"/>
          </w:tcPr>
          <w:p>
            <w:pPr>
              <w:spacing w:after="20"/>
            </w:pPr>
            <w:r/>
            <w:r>
              <w:rPr>
                <w:sz w:val="19"/>
              </w:rPr>
              <w:t>HP1</w:t>
            </w:r>
          </w:p>
        </w:tc>
        <w:tc>
          <w:tcPr>
            <w:tcW w:type="dxa" w:w="5669"/>
          </w:tcPr>
          <w:p>
            <w:pPr>
              <w:spacing w:after="20"/>
            </w:pPr>
            <w:r/>
            <w:r>
              <w:rPr>
                <w:sz w:val="19"/>
              </w:rPr>
              <w:t>Friday 20/11/2026</w:t>
            </w:r>
          </w:p>
        </w:tc>
      </w:tr>
      <w:tr>
        <w:trPr>
          <w:cantSplit/>
        </w:trPr>
        <w:tc>
          <w:tcPr>
            <w:tcW w:type="dxa" w:w="3685"/>
            <w:shd w:val="clear" w:color="auto" w:fill="F7F1DE"/>
          </w:tcPr>
          <w:p>
            <w:pPr>
              <w:spacing w:after="20"/>
            </w:pPr>
            <w:r/>
            <w:r>
              <w:rPr>
                <w:sz w:val="19"/>
              </w:rPr>
              <w:t>HP2 Design Basis Memorandum</w:t>
            </w:r>
          </w:p>
        </w:tc>
        <w:tc>
          <w:tcPr>
            <w:tcW w:type="dxa" w:w="5669"/>
            <w:shd w:val="clear" w:color="auto" w:fill="F7F1DE"/>
          </w:tcPr>
          <w:p>
            <w:pPr>
              <w:spacing w:after="20"/>
            </w:pPr>
            <w:r/>
            <w:r>
              <w:rPr>
                <w:sz w:val="19"/>
              </w:rPr>
              <w:t>Friday 04/12/2026</w:t>
            </w:r>
          </w:p>
        </w:tc>
      </w:tr>
      <w:tr>
        <w:trPr>
          <w:cantSplit/>
        </w:trPr>
        <w:tc>
          <w:tcPr>
            <w:tcW w:type="dxa" w:w="3685"/>
          </w:tcPr>
          <w:p>
            <w:pPr>
              <w:spacing w:after="20"/>
            </w:pPr>
            <w:r/>
            <w:r>
              <w:rPr>
                <w:sz w:val="19"/>
              </w:rPr>
              <w:t>Christmas shutdown</w:t>
            </w:r>
          </w:p>
        </w:tc>
        <w:tc>
          <w:tcPr>
            <w:tcW w:type="dxa" w:w="5669"/>
          </w:tcPr>
          <w:p>
            <w:pPr>
              <w:spacing w:after="20"/>
            </w:pPr>
            <w:r/>
            <w:r>
              <w:rPr>
                <w:sz w:val="19"/>
              </w:rPr>
              <w:t>21/12/2026 to 05/01/2027</w:t>
            </w:r>
          </w:p>
        </w:tc>
      </w:tr>
      <w:tr>
        <w:trPr>
          <w:cantSplit/>
        </w:trPr>
        <w:tc>
          <w:tcPr>
            <w:tcW w:type="dxa" w:w="3685"/>
            <w:shd w:val="clear" w:color="auto" w:fill="F7F1DE"/>
          </w:tcPr>
          <w:p>
            <w:pPr>
              <w:spacing w:after="20"/>
            </w:pPr>
            <w:r/>
            <w:r>
              <w:rPr>
                <w:sz w:val="19"/>
              </w:rPr>
              <w:t>HP3 concept and hydraulic impact review</w:t>
            </w:r>
          </w:p>
        </w:tc>
        <w:tc>
          <w:tcPr>
            <w:tcW w:type="dxa" w:w="5669"/>
            <w:shd w:val="clear" w:color="auto" w:fill="F7F1DE"/>
          </w:tcPr>
          <w:p>
            <w:pPr>
              <w:spacing w:after="20"/>
            </w:pPr>
            <w:r/>
            <w:r>
              <w:rPr>
                <w:sz w:val="19"/>
              </w:rPr>
              <w:t>Wednesday 13/01/2027</w:t>
            </w:r>
          </w:p>
        </w:tc>
      </w:tr>
      <w:tr>
        <w:trPr>
          <w:cantSplit/>
        </w:trPr>
        <w:tc>
          <w:tcPr>
            <w:tcW w:type="dxa" w:w="3685"/>
          </w:tcPr>
          <w:p>
            <w:pPr>
              <w:spacing w:after="20"/>
            </w:pPr>
            <w:r/>
            <w:r>
              <w:rPr>
                <w:sz w:val="19"/>
              </w:rPr>
              <w:t>HP4 50% design</w:t>
            </w:r>
          </w:p>
        </w:tc>
        <w:tc>
          <w:tcPr>
            <w:tcW w:type="dxa" w:w="5669"/>
          </w:tcPr>
          <w:p>
            <w:pPr>
              <w:spacing w:after="20"/>
            </w:pPr>
            <w:r/>
            <w:r>
              <w:rPr>
                <w:sz w:val="19"/>
              </w:rPr>
              <w:t>Friday 29/01/2027</w:t>
            </w:r>
          </w:p>
        </w:tc>
      </w:tr>
      <w:tr>
        <w:trPr>
          <w:cantSplit/>
        </w:trPr>
        <w:tc>
          <w:tcPr>
            <w:tcW w:type="dxa" w:w="3685"/>
            <w:shd w:val="clear" w:color="auto" w:fill="F7F1DE"/>
          </w:tcPr>
          <w:p>
            <w:pPr>
              <w:spacing w:after="20"/>
            </w:pPr>
            <w:r/>
            <w:r>
              <w:rPr>
                <w:sz w:val="19"/>
              </w:rPr>
              <w:t>HP5 80% design</w:t>
            </w:r>
          </w:p>
        </w:tc>
        <w:tc>
          <w:tcPr>
            <w:tcW w:type="dxa" w:w="5669"/>
            <w:shd w:val="clear" w:color="auto" w:fill="F7F1DE"/>
          </w:tcPr>
          <w:p>
            <w:pPr>
              <w:spacing w:after="20"/>
            </w:pPr>
            <w:r/>
            <w:r>
              <w:rPr>
                <w:sz w:val="19"/>
              </w:rPr>
              <w:t>Friday 12/02/2027</w:t>
            </w:r>
          </w:p>
        </w:tc>
      </w:tr>
      <w:tr>
        <w:trPr>
          <w:cantSplit/>
        </w:trPr>
        <w:tc>
          <w:tcPr>
            <w:tcW w:type="dxa" w:w="3685"/>
          </w:tcPr>
          <w:p>
            <w:pPr>
              <w:spacing w:after="20"/>
            </w:pPr>
            <w:r/>
            <w:r>
              <w:rPr>
                <w:b/>
                <w:sz w:val="19"/>
              </w:rPr>
              <w:t>HP6 final design and Issued for Tender package</w:t>
            </w:r>
          </w:p>
        </w:tc>
        <w:tc>
          <w:tcPr>
            <w:tcW w:type="dxa" w:w="5669"/>
          </w:tcPr>
          <w:p>
            <w:pPr>
              <w:spacing w:after="20"/>
            </w:pPr>
            <w:r/>
            <w:r>
              <w:rPr>
                <w:b/>
                <w:sz w:val="19"/>
              </w:rPr>
              <w:t>Friday 26/02/2027 (fixed by Council)</w:t>
            </w:r>
          </w:p>
        </w:tc>
      </w:tr>
      <w:tr>
        <w:trPr>
          <w:cantSplit/>
        </w:trPr>
        <w:tc>
          <w:tcPr>
            <w:tcW w:type="dxa" w:w="3685"/>
            <w:shd w:val="clear" w:color="auto" w:fill="F7F1DE"/>
          </w:tcPr>
          <w:p>
            <w:pPr>
              <w:spacing w:after="20"/>
            </w:pPr>
            <w:r/>
            <w:r>
              <w:rPr>
                <w:sz w:val="19"/>
              </w:rPr>
              <w:t>Model received and reviewed</w:t>
            </w:r>
          </w:p>
        </w:tc>
        <w:tc>
          <w:tcPr>
            <w:tcW w:type="dxa" w:w="5669"/>
            <w:shd w:val="clear" w:color="auto" w:fill="F7F1DE"/>
          </w:tcPr>
          <w:p>
            <w:pPr>
              <w:spacing w:after="20"/>
            </w:pPr>
            <w:r/>
            <w:r>
              <w:rPr>
                <w:sz w:val="19"/>
              </w:rPr>
              <w:t>By Friday 27/11/2026 (input to the DBM)</w:t>
            </w:r>
          </w:p>
        </w:tc>
      </w:tr>
      <w:tr>
        <w:trPr>
          <w:cantSplit/>
        </w:trPr>
        <w:tc>
          <w:tcPr>
            <w:tcW w:type="dxa" w:w="3685"/>
          </w:tcPr>
          <w:p>
            <w:pPr>
              <w:spacing w:after="20"/>
            </w:pPr>
            <w:r/>
            <w:r>
              <w:rPr>
                <w:sz w:val="19"/>
              </w:rPr>
              <w:t>Concept design case</w:t>
            </w:r>
          </w:p>
        </w:tc>
        <w:tc>
          <w:tcPr>
            <w:tcW w:type="dxa" w:w="5669"/>
          </w:tcPr>
          <w:p>
            <w:pPr>
              <w:spacing w:after="20"/>
            </w:pPr>
            <w:r/>
            <w:r>
              <w:rPr>
                <w:sz w:val="19"/>
              </w:rPr>
              <w:t>07/12/2026 to 08/01/2027; memo by Friday 08/01/2027</w:t>
            </w:r>
          </w:p>
        </w:tc>
      </w:tr>
      <w:tr>
        <w:trPr>
          <w:cantSplit/>
        </w:trPr>
        <w:tc>
          <w:tcPr>
            <w:tcW w:type="dxa" w:w="3685"/>
            <w:shd w:val="clear" w:color="auto" w:fill="F7F1DE"/>
          </w:tcPr>
          <w:p>
            <w:pPr>
              <w:spacing w:after="20"/>
            </w:pPr>
            <w:r/>
            <w:r>
              <w:rPr>
                <w:sz w:val="19"/>
              </w:rPr>
              <w:t>Final assessment</w:t>
            </w:r>
          </w:p>
        </w:tc>
        <w:tc>
          <w:tcPr>
            <w:tcW w:type="dxa" w:w="5669"/>
            <w:shd w:val="clear" w:color="auto" w:fill="F7F1DE"/>
          </w:tcPr>
          <w:p>
            <w:pPr>
              <w:spacing w:after="20"/>
            </w:pPr>
            <w:r/>
            <w:r>
              <w:rPr>
                <w:sz w:val="19"/>
              </w:rPr>
              <w:t>Draft Friday 12/02/2027; final with HP6 on 26/02/2027</w:t>
            </w:r>
          </w:p>
        </w:tc>
      </w:tr>
    </w:tbl>
    <w:p>
      <w:pPr>
        <w:spacing w:after="40"/>
      </w:pPr>
    </w:p>
    <w:p>
      <w:pPr>
        <w:pStyle w:val="Heading1"/>
      </w:pPr>
      <w:r>
        <w:t>5.0   REQUIREMENTS</w:t>
      </w:r>
    </w:p>
    <w:p>
      <w:r>
        <w:rPr>
          <w:b/>
        </w:rPr>
        <w:t>Registration.</w:t>
      </w:r>
      <w:r>
        <w:rPr/>
        <w:t xml:space="preserve"> Outputs relied on for the design must be prepared or supervised, and certified, by an engineer registered under the Professional Engineers Registration Act 2019 (Vic) in an appropriate area. Please state the registration number and area of the certifying engineer.</w:t>
      </w:r>
    </w:p>
    <w:p>
      <w:pPr>
        <w:keepNext/>
      </w:pPr>
      <w:r>
        <w:rPr>
          <w:b/>
        </w:rPr>
        <w:t>Insurance (as Council requires of JCE: Brief 1.13, Annexure Part A Items 25 to 27).</w:t>
      </w:r>
      <w:r>
        <w:rPr/>
        <w:t xml:space="preserve"> Please confirm you hold, and will maintain for the engagement:</w:t>
      </w:r>
    </w:p>
    <w:p>
      <w:pPr>
        <w:pStyle w:val="ListBullet"/>
        <w:spacing w:after="60"/>
      </w:pPr>
      <w:r>
        <w:rPr/>
        <w:t>public liability of not less than $20 million;</w:t>
      </w:r>
    </w:p>
    <w:p>
      <w:pPr>
        <w:pStyle w:val="ListBullet"/>
        <w:spacing w:after="60"/>
      </w:pPr>
      <w:r>
        <w:rPr/>
        <w:t>professional indemnity of not less than $5 million, maintained for five years after completion of the services;</w:t>
      </w:r>
    </w:p>
    <w:p>
      <w:pPr>
        <w:pStyle w:val="ListBullet"/>
        <w:spacing w:after="60"/>
      </w:pPr>
      <w:r>
        <w:rPr/>
        <w:t>workers compensation (WorkSafe Victoria or equivalent) covering all workers.</w:t>
      </w:r>
    </w:p>
    <w:p>
      <w:r>
        <w:rPr/>
        <w:t>Please attach certificates of currency. If your cover differs, state the levels you hold so JCE can raise them with Council. Council's contract states no limit on the consultant's liability.</w:t>
      </w:r>
    </w:p>
    <w:p>
      <w:r>
        <w:rPr>
          <w:b/>
        </w:rPr>
        <w:t>Work health and safety.</w:t>
      </w:r>
      <w:r>
        <w:rPr/>
        <w:t xml:space="preserve"> Compliance with the Occupational Health and Safety Act 2004 (Vic) and OHS Regulations 2017, Council's online contractor induction, and a site-specific risk assessment or SWMS for any fieldwork (work near water, traffic, underground services and private land). JCE's Subconsultant and Contractor WHS Management Procedure (JCE-WHS-PRO-009) applies.</w:t>
      </w:r>
    </w:p>
    <w:p>
      <w:r>
        <w:rPr>
          <w:b/>
        </w:rPr>
        <w:t>Independence and conflict of interest.</w:t>
      </w:r>
      <w:r>
        <w:rPr/>
        <w:t xml:space="preserve"> Please declare any actual or perceived conflict, including any current engagement with Council or NCCMA on this project, any role in the Newstead Flood Study, any relationship with landowners along the alignment, and whether you are quoting to or tendering with another party for RFQ M2025-125. You may quote to others, but please tell us, and keep JCE's information separate.</w:t>
      </w:r>
    </w:p>
    <w:p>
      <w:r>
        <w:rPr>
          <w:b/>
        </w:rPr>
        <w:t>Quality and personnel.</w:t>
      </w:r>
      <w:r>
        <w:rPr/>
        <w:t xml:space="preserve"> Internal checking of all deliverables before issue to JCE; nominate key personnel with short CVs and confirm availability for the program in Section 4.0.</w:t>
      </w:r>
    </w:p>
    <w:p>
      <w:pPr>
        <w:pStyle w:val="Heading1"/>
      </w:pPr>
      <w:r>
        <w:t>6.0   PRICING SCHEDULE</w:t>
      </w:r>
    </w:p>
    <w:p>
      <w:pPr>
        <w:keepNext/>
      </w:pPr>
      <w:r>
        <w:rPr/>
        <w:t>Please complete in AUD, excluding GST. Items marked Main are in JCE's main offer; items marked Option or Alternative A are priced separately and may not be engaged.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93"/>
        <w:gridCol w:w="5670"/>
        <w:gridCol w:w="1360"/>
        <w:gridCol w:w="1530"/>
      </w:tblGrid>
      <w:tr>
        <w:trPr>
          <w:tblHeader/>
          <w:cantSplit/>
        </w:trPr>
        <w:tc>
          <w:tcPr>
            <w:tcW w:type="dxa" w:w="794"/>
            <w:shd w:val="clear" w:color="auto" w:fill="000000"/>
          </w:tcPr>
          <w:p>
            <w:pPr>
              <w:keepNext/>
            </w:pPr>
            <w:r/>
            <w:r>
              <w:rPr>
                <w:b/>
                <w:color w:val="FFFFFF"/>
                <w:sz w:val="19"/>
              </w:rPr>
              <w:t>Item</w:t>
            </w:r>
          </w:p>
        </w:tc>
        <w:tc>
          <w:tcPr>
            <w:tcW w:type="dxa" w:w="5669"/>
            <w:shd w:val="clear" w:color="auto" w:fill="000000"/>
          </w:tcPr>
          <w:p>
            <w:pPr>
              <w:keepNext/>
            </w:pPr>
            <w:r/>
            <w:r>
              <w:rPr>
                <w:b/>
                <w:color w:val="FFFFFF"/>
                <w:sz w:val="19"/>
              </w:rPr>
              <w:t>Description</w:t>
            </w:r>
          </w:p>
        </w:tc>
        <w:tc>
          <w:tcPr>
            <w:tcW w:type="dxa" w:w="1361"/>
            <w:shd w:val="clear" w:color="auto" w:fill="000000"/>
          </w:tcPr>
          <w:p>
            <w:pPr>
              <w:keepNext/>
            </w:pPr>
            <w:r/>
            <w:r>
              <w:rPr>
                <w:b/>
                <w:color w:val="FFFFFF"/>
                <w:sz w:val="19"/>
              </w:rPr>
              <w:t>Basis</w:t>
            </w:r>
          </w:p>
        </w:tc>
        <w:tc>
          <w:tcPr>
            <w:tcW w:type="dxa" w:w="1531"/>
            <w:shd w:val="clear" w:color="auto" w:fill="000000"/>
          </w:tcPr>
          <w:p>
            <w:pPr>
              <w:keepNext/>
            </w:pPr>
            <w:r/>
            <w:r>
              <w:rPr>
                <w:b/>
                <w:color w:val="FFFFFF"/>
                <w:sz w:val="19"/>
              </w:rPr>
              <w:t>Price (excl. GST)</w:t>
            </w:r>
          </w:p>
        </w:tc>
      </w:tr>
      <w:tr>
        <w:trPr>
          <w:cantSplit/>
        </w:trPr>
        <w:tc>
          <w:tcPr>
            <w:tcW w:type="dxa" w:w="794"/>
          </w:tcPr>
          <w:p>
            <w:pPr>
              <w:keepNext/>
              <w:spacing w:after="20"/>
            </w:pPr>
            <w:r/>
            <w:r>
              <w:rPr>
                <w:sz w:val="19"/>
              </w:rPr>
              <w:t>F1</w:t>
            </w:r>
          </w:p>
        </w:tc>
        <w:tc>
          <w:tcPr>
            <w:tcW w:type="dxa" w:w="5669"/>
          </w:tcPr>
          <w:p>
            <w:pPr>
              <w:keepNext/>
              <w:spacing w:after="20"/>
            </w:pPr>
            <w:r/>
            <w:r>
              <w:rPr>
                <w:sz w:val="19"/>
              </w:rPr>
              <w:t>Model review and design criteria advice</w:t>
            </w:r>
          </w:p>
        </w:tc>
        <w:tc>
          <w:tcPr>
            <w:tcW w:type="dxa" w:w="1361"/>
          </w:tcPr>
          <w:p>
            <w:pPr>
              <w:keepNext/>
              <w:spacing w:after="20"/>
            </w:pPr>
            <w:r/>
            <w:r>
              <w:rPr>
                <w:sz w:val="19"/>
              </w:rPr>
              <w:t>Main, lump sum</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F2</w:t>
            </w:r>
          </w:p>
        </w:tc>
        <w:tc>
          <w:tcPr>
            <w:tcW w:type="dxa" w:w="5669"/>
            <w:shd w:val="clear" w:color="auto" w:fill="F7F1DE"/>
          </w:tcPr>
          <w:p>
            <w:pPr>
              <w:keepNext/>
              <w:spacing w:after="20"/>
            </w:pPr>
            <w:r/>
            <w:r>
              <w:rPr>
                <w:sz w:val="19"/>
              </w:rPr>
              <w:t>Concept design case and HP3 memo</w:t>
            </w:r>
          </w:p>
        </w:tc>
        <w:tc>
          <w:tcPr>
            <w:tcW w:type="dxa" w:w="1361"/>
            <w:shd w:val="clear" w:color="auto" w:fill="F7F1DE"/>
          </w:tcPr>
          <w:p>
            <w:pPr>
              <w:keepNext/>
              <w:spacing w:after="20"/>
            </w:pPr>
            <w:r/>
            <w:r>
              <w:rPr>
                <w:sz w:val="19"/>
              </w:rPr>
              <w:t>Main, lump sum</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r>
              <w:rPr>
                <w:sz w:val="19"/>
              </w:rPr>
              <w:t>F3</w:t>
            </w:r>
          </w:p>
        </w:tc>
        <w:tc>
          <w:tcPr>
            <w:tcW w:type="dxa" w:w="5669"/>
          </w:tcPr>
          <w:p>
            <w:pPr>
              <w:keepNext/>
              <w:spacing w:after="20"/>
            </w:pPr>
            <w:r/>
            <w:r>
              <w:rPr>
                <w:sz w:val="19"/>
              </w:rPr>
              <w:t>Final run and certified report</w:t>
            </w:r>
          </w:p>
        </w:tc>
        <w:tc>
          <w:tcPr>
            <w:tcW w:type="dxa" w:w="1361"/>
          </w:tcPr>
          <w:p>
            <w:pPr>
              <w:keepNext/>
              <w:spacing w:after="20"/>
            </w:pPr>
            <w:r/>
            <w:r>
              <w:rPr>
                <w:sz w:val="19"/>
              </w:rPr>
              <w:t>Main, lump sum</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F4</w:t>
            </w:r>
          </w:p>
        </w:tc>
        <w:tc>
          <w:tcPr>
            <w:tcW w:type="dxa" w:w="5669"/>
            <w:shd w:val="clear" w:color="auto" w:fill="F7F1DE"/>
          </w:tcPr>
          <w:p>
            <w:pPr>
              <w:keepNext/>
              <w:spacing w:after="20"/>
            </w:pPr>
            <w:r/>
            <w:r>
              <w:rPr>
                <w:sz w:val="19"/>
              </w:rPr>
              <w:t>Meetings (online)</w:t>
            </w:r>
          </w:p>
        </w:tc>
        <w:tc>
          <w:tcPr>
            <w:tcW w:type="dxa" w:w="1361"/>
            <w:shd w:val="clear" w:color="auto" w:fill="F7F1DE"/>
          </w:tcPr>
          <w:p>
            <w:pPr>
              <w:keepNext/>
              <w:spacing w:after="20"/>
            </w:pPr>
            <w:r/>
            <w:r>
              <w:rPr>
                <w:sz w:val="19"/>
              </w:rPr>
              <w:t>Main, lump sum</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p>
        </w:tc>
        <w:tc>
          <w:tcPr>
            <w:tcW w:type="dxa" w:w="5669"/>
          </w:tcPr>
          <w:p>
            <w:pPr>
              <w:keepNext/>
              <w:spacing w:after="20"/>
            </w:pPr>
            <w:r/>
            <w:r>
              <w:rPr>
                <w:b/>
                <w:sz w:val="19"/>
              </w:rPr>
              <w:t>Main offer total (F1 to F4)</w:t>
            </w:r>
          </w:p>
        </w:tc>
        <w:tc>
          <w:tcPr>
            <w:tcW w:type="dxa" w:w="1361"/>
          </w:tcPr>
          <w:p>
            <w:pPr>
              <w:keepNext/>
              <w:spacing w:after="20"/>
            </w:pPr>
            <w:r/>
          </w:p>
        </w:tc>
        <w:tc>
          <w:tcPr>
            <w:tcW w:type="dxa" w:w="1531"/>
          </w:tcPr>
          <w:p>
            <w:pPr>
              <w:keepNext/>
              <w:spacing w:after="20"/>
            </w:pPr>
            <w:r/>
            <w:r>
              <w:rPr>
                <w:b/>
                <w:sz w:val="19"/>
              </w:rPr>
              <w:t>$</w:t>
            </w:r>
          </w:p>
        </w:tc>
      </w:tr>
      <w:tr>
        <w:trPr>
          <w:cantSplit/>
        </w:trPr>
        <w:tc>
          <w:tcPr>
            <w:tcW w:type="dxa" w:w="794"/>
            <w:shd w:val="clear" w:color="auto" w:fill="F7F1DE"/>
          </w:tcPr>
          <w:p>
            <w:pPr>
              <w:keepNext/>
              <w:spacing w:after="20"/>
            </w:pPr>
            <w:r/>
            <w:r>
              <w:rPr>
                <w:sz w:val="19"/>
              </w:rPr>
              <w:t>F5</w:t>
            </w:r>
          </w:p>
        </w:tc>
        <w:tc>
          <w:tcPr>
            <w:tcW w:type="dxa" w:w="5669"/>
            <w:shd w:val="clear" w:color="auto" w:fill="F7F1DE"/>
          </w:tcPr>
          <w:p>
            <w:pPr>
              <w:keepNext/>
              <w:spacing w:after="20"/>
            </w:pPr>
            <w:r/>
            <w:r>
              <w:rPr>
                <w:sz w:val="19"/>
              </w:rPr>
              <w:t>Second concept iteration</w:t>
            </w:r>
          </w:p>
        </w:tc>
        <w:tc>
          <w:tcPr>
            <w:tcW w:type="dxa" w:w="1361"/>
            <w:shd w:val="clear" w:color="auto" w:fill="F7F1DE"/>
          </w:tcPr>
          <w:p>
            <w:pPr>
              <w:keepNext/>
              <w:spacing w:after="20"/>
            </w:pPr>
            <w:r/>
            <w:r>
              <w:rPr>
                <w:sz w:val="19"/>
              </w:rPr>
              <w:t>Alternative A</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r>
              <w:rPr>
                <w:sz w:val="19"/>
              </w:rPr>
              <w:t>F6</w:t>
            </w:r>
          </w:p>
        </w:tc>
        <w:tc>
          <w:tcPr>
            <w:tcW w:type="dxa" w:w="5669"/>
          </w:tcPr>
          <w:p>
            <w:pPr>
              <w:keepNext/>
              <w:spacing w:after="20"/>
            </w:pPr>
            <w:r/>
            <w:r>
              <w:rPr>
                <w:sz w:val="19"/>
              </w:rPr>
              <w:t>Overtopping and breach scenarios</w:t>
            </w:r>
          </w:p>
        </w:tc>
        <w:tc>
          <w:tcPr>
            <w:tcW w:type="dxa" w:w="1361"/>
          </w:tcPr>
          <w:p>
            <w:pPr>
              <w:keepNext/>
              <w:spacing w:after="20"/>
            </w:pPr>
            <w:r/>
            <w:r>
              <w:rPr>
                <w:sz w:val="19"/>
              </w:rPr>
              <w:t>Alternative A</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F7</w:t>
            </w:r>
          </w:p>
        </w:tc>
        <w:tc>
          <w:tcPr>
            <w:tcW w:type="dxa" w:w="5669"/>
            <w:shd w:val="clear" w:color="auto" w:fill="F7F1DE"/>
          </w:tcPr>
          <w:p>
            <w:pPr>
              <w:keepNext/>
              <w:spacing w:after="20"/>
            </w:pPr>
            <w:r/>
            <w:r>
              <w:rPr>
                <w:sz w:val="19"/>
              </w:rPr>
              <w:t>Internal drainage ponding</w:t>
            </w:r>
          </w:p>
        </w:tc>
        <w:tc>
          <w:tcPr>
            <w:tcW w:type="dxa" w:w="1361"/>
            <w:shd w:val="clear" w:color="auto" w:fill="F7F1DE"/>
          </w:tcPr>
          <w:p>
            <w:pPr>
              <w:keepNext/>
              <w:spacing w:after="20"/>
            </w:pPr>
            <w:r/>
            <w:r>
              <w:rPr>
                <w:sz w:val="19"/>
              </w:rPr>
              <w:t>Alternative A</w:t>
            </w:r>
          </w:p>
        </w:tc>
        <w:tc>
          <w:tcPr>
            <w:tcW w:type="dxa" w:w="1531"/>
            <w:shd w:val="clear" w:color="auto" w:fill="F7F1DE"/>
          </w:tcPr>
          <w:p>
            <w:pPr>
              <w:keepNext/>
              <w:spacing w:after="20"/>
            </w:pPr>
            <w:r/>
            <w:r>
              <w:rPr>
                <w:sz w:val="19"/>
              </w:rPr>
              <w:t>$</w:t>
            </w:r>
          </w:p>
        </w:tc>
      </w:tr>
      <w:tr>
        <w:trPr>
          <w:cantSplit/>
        </w:trPr>
        <w:tc>
          <w:tcPr>
            <w:tcW w:type="dxa" w:w="794"/>
          </w:tcPr>
          <w:p>
            <w:pPr>
              <w:spacing w:after="20"/>
            </w:pPr>
            <w:r/>
            <w:r>
              <w:rPr>
                <w:sz w:val="19"/>
              </w:rPr>
              <w:t>F8</w:t>
            </w:r>
          </w:p>
        </w:tc>
        <w:tc>
          <w:tcPr>
            <w:tcW w:type="dxa" w:w="5669"/>
          </w:tcPr>
          <w:p>
            <w:pPr>
              <w:spacing w:after="20"/>
            </w:pPr>
            <w:r/>
            <w:r>
              <w:rPr>
                <w:sz w:val="19"/>
              </w:rPr>
              <w:t>Each additional design-case run</w:t>
            </w:r>
          </w:p>
        </w:tc>
        <w:tc>
          <w:tcPr>
            <w:tcW w:type="dxa" w:w="1361"/>
          </w:tcPr>
          <w:p>
            <w:pPr>
              <w:spacing w:after="20"/>
            </w:pPr>
            <w:r/>
            <w:r>
              <w:rPr>
                <w:sz w:val="19"/>
              </w:rPr>
              <w:t>Option, per run</w:t>
            </w:r>
          </w:p>
        </w:tc>
        <w:tc>
          <w:tcPr>
            <w:tcW w:type="dxa" w:w="1531"/>
          </w:tcPr>
          <w:p>
            <w:pPr>
              <w:spacing w:after="20"/>
            </w:pPr>
            <w:r/>
            <w:r>
              <w:rPr>
                <w:sz w:val="19"/>
              </w:rPr>
              <w:t>$</w:t>
            </w:r>
          </w:p>
        </w:tc>
      </w:tr>
    </w:tbl>
    <w:p>
      <w:pPr>
        <w:spacing w:after="40"/>
      </w:pPr>
    </w:p>
    <w:p>
      <w:r>
        <w:rPr/>
        <w:t>JCE's main offer carries an allowance of $20,000 excluding GST (before JCE's margin) for F1 to F4. If your price for the main items is materially higher, please say which items drive it and how the scope could be trimmed.</w:t>
      </w:r>
    </w:p>
    <w:p>
      <w:pPr>
        <w:pStyle w:val="Heading1"/>
      </w:pPr>
      <w:r>
        <w:t>6.1   QUOTATION CONTENT AND VALIDITY</w:t>
      </w:r>
    </w:p>
    <w:p>
      <w:pPr>
        <w:pStyle w:val="ListBullet"/>
        <w:spacing w:after="60"/>
      </w:pPr>
      <w:r>
        <w:rPr/>
        <w:t>Lump sums against each item in Section 6.0, in AUD excluding GST, using the same item references.</w:t>
      </w:r>
    </w:p>
    <w:p>
      <w:pPr>
        <w:pStyle w:val="ListBullet"/>
        <w:spacing w:after="60"/>
      </w:pPr>
      <w:r>
        <w:rPr/>
        <w:t>A schedule of hourly rates by role for variations (these go into Council's Schedule D).</w:t>
      </w:r>
    </w:p>
    <w:p>
      <w:pPr>
        <w:pStyle w:val="ListBullet"/>
        <w:spacing w:after="60"/>
      </w:pPr>
      <w:r>
        <w:rPr/>
        <w:t>Disbursements (travel, accommodation, equipment, laboratory), included or listed separately.</w:t>
      </w:r>
    </w:p>
    <w:p>
      <w:pPr>
        <w:pStyle w:val="ListBullet"/>
        <w:spacing w:after="60"/>
      </w:pPr>
      <w:r>
        <w:rPr/>
        <w:t>Inclusions, exclusions and assumptions.</w:t>
      </w:r>
    </w:p>
    <w:p>
      <w:pPr>
        <w:pStyle w:val="ListBullet"/>
        <w:spacing w:after="60"/>
      </w:pPr>
      <w:r>
        <w:rPr/>
        <w:t>Validity of at least ninety (90) days from the quotation due date (to 14/01/2027). Council may negotiate for 60 days after close and expects to award on 06/11/2026.</w:t>
      </w:r>
    </w:p>
    <w:p>
      <w:pPr>
        <w:pStyle w:val="Heading1"/>
      </w:pPr>
      <w:r>
        <w:t>7.0   CONFIDENTIALITY</w:t>
      </w:r>
    </w:p>
    <w:p>
      <w:r>
        <w:rPr/>
        <w:t>This request and the tender information attached are confidential. They are issued only so you can quote to JCE and must not be used for any other purpose or disclosed to anyone else, other than your insurers and advisers on a confidential basis. Please do not contact Council or Councillors about the RFQ (canvassing disqualifies tenderers); direct all questions to JCE. If you are not engaged, please delete or return the information on request.</w:t>
      </w:r>
    </w:p>
    <w:p>
      <w:pPr>
        <w:pStyle w:val="Heading1"/>
      </w:pPr>
      <w:r>
        <w:t>8.0   BASIS OF ENGAGEMENT</w:t>
      </w:r>
    </w:p>
    <w:p>
      <w:r>
        <w:rPr/>
        <w:t>Any engagement depends on Council awarding the contract for RFQ M2025-125 to JCE. If engaged, you will be appointed under a sub-consultant agreement with JCE that passes down the relevant terms of JCE's AS 4122:2010 contract with Council (laws of Victoria), including scope, program, insurance, confidentiality, intellectual property (all outputs and data vest in NCCMA and Council, Brief 1.11) and payment within 30 business days of JCE's claim being accepted. Provisional sum items proceed only on Council's prior written direction. JCE is not obliged to accept the lowest or any quotation, and no payment is made for preparing a quotation.</w:t>
      </w:r>
    </w:p>
    <w:p>
      <w:pPr>
        <w:keepNext/>
      </w:pPr>
      <w:r>
        <w:rPr/>
        <w:t>Please contact me on 0477 207 027 to discuss the scope.</w:t>
      </w:r>
    </w:p>
    <w:tbl>
      <w:tblPr>
        <w:tblW w:type="auto" w:w="0"/>
        <w:tblLayout w:type="fixed"/>
        <w:tblLook w:firstColumn="1" w:firstRow="1" w:lastColumn="0" w:lastRow="0" w:noHBand="0" w:noVBand="1" w:val="04A0"/>
      </w:tblPr>
      <w:tblGrid>
        <w:gridCol w:w="9354"/>
      </w:tblGrid>
      <w:tr>
        <w:trPr>
          <w:cantSplit/>
        </w:trPr>
        <w:tc>
          <w:tcPr>
            <w:tcW w:type="dxa" w:w="9354"/>
          </w:tcPr>
          <w:p>
            <w:pPr>
              <w:keepNext/>
              <w:spacing w:after="20"/>
            </w:pPr>
            <w: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Pr>
        <w:pStyle w:val="Heading1"/>
      </w:pPr>
      <w:r>
        <w:t>ATTACHMENTS</w:t>
      </w:r>
    </w:p>
    <w:p>
      <w:pPr>
        <w:pStyle w:val="ListBullet"/>
        <w:spacing w:after="60"/>
      </w:pPr>
      <w:r>
        <w:rPr/>
        <w:t>Attachment_1-Project_Brief_and_General_Specification.pdf (Council's Project Brief, in full)</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JCE Infrastructure Pty Ltd  |  ABN 29 699 165 663  |  jceinfrastructure.com.au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JCE-RFQ-VP527574-FM Rev C  |  Floodplain modelling and hydraulic impact assessment  |  Newstead Levee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C9A2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