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6"/>
        </w:rPr>
        <w:t>JCE Infrastructure Pty Ltd</w:t>
      </w:r>
    </w:p>
    <w:p>
      <w:pPr>
        <w:spacing w:after="200"/>
        <w:pBdr>
          <w:bottom w:val="single" w:sz="12" w:space="1" w:color="C9A227"/>
        </w:pBdr>
      </w:pPr>
      <w:r>
        <w:rPr>
          <w:color w:val="404040"/>
          <w:sz w:val="18"/>
        </w:rPr>
        <w:t>ABN 29 699 165 663  |  0477 207 027  |  jayden@jceinfrastructure.com.au  |  jceinfrastructure.com.au</w:t>
      </w:r>
    </w:p>
    <w:p>
      <w:r>
        <w:rPr>
          <w:color w:val="404040"/>
          <w:sz w:val="18"/>
        </w:rPr>
        <w:t>Request for quotation JCE-RFQ-VP527574-GT Rev C (FINAL)  |  Date: 12/10/2026  |  To: invited sub-consultant (named in the covering email)</w:t>
      </w:r>
    </w:p>
    <w:p>
      <w:r>
        <w:rPr>
          <w:b/>
        </w:rPr>
        <w:t>Request for quotation: Geotechnical investigation and design advice (provisional sum)</w:t>
      </w:r>
    </w:p>
    <w:p>
      <w:r>
        <w:rPr>
          <w:b/>
        </w:rPr>
        <w:t>Newstead Levee Design 26/27, Mount Alexander Shire Council RFQ M2025-125</w:t>
      </w:r>
    </w:p>
    <w:p>
      <w:r>
        <w:rPr/>
        <w:t xml:space="preserve">JCE Infrastructure Pty Ltd (JCE) invites you to quote for the work below as a sub-consultant to JCE. </w:t>
      </w:r>
      <w:r>
        <w:rPr>
          <w:b/>
        </w:rPr>
        <w:t>Quotations are due by Friday 16/10/2026, 12:00 pm (AEDT).</w:t>
      </w:r>
    </w:p>
    <w:p>
      <w:pPr>
        <w:pStyle w:val="Heading1"/>
      </w:pPr>
      <w:r>
        <w:t>1.0   PROJECT AND TENDER</w:t>
      </w:r>
    </w:p>
    <w:p>
      <w:r>
        <w:rPr/>
        <w:t xml:space="preserve">Mount Alexander Shire Council has invited quotations under </w:t>
      </w:r>
      <w:r>
        <w:rPr>
          <w:b/>
        </w:rPr>
        <w:t>RFQ M2025-125</w:t>
      </w:r>
      <w:r>
        <w:rPr/>
        <w:t xml:space="preserve"> (VendorPanel VP527574) for the detailed design, approvals support, documentation and construction tender package for the Newstead levee. The tender closes at 2:00 pm (AEDT) on Friday 23/10/2026. It is a fixed-price lump sum under AS 4122:2010, and the final package is due on Friday 26/02/2027.</w:t>
      </w:r>
    </w:p>
    <w:p>
      <w:r>
        <w:rPr>
          <w:b/>
        </w:rPr>
        <w:t>The levee.</w:t>
      </w:r>
      <w:r>
        <w:rPr/>
        <w:t xml:space="preserve"> The 1920s earthen levee on the east bank of the Loddon River at Newstead is about 1.5 km long. A 2017 risk assessment found it vulnerable to overtopping, slumping, piping and foundation seepage, with the southern section at extreme risk in a 1% AEP event. In May 2026 Council approved Mitigation Option 6b (raised, extended and realigned levee, Brief Appendix 2), based on Water Technology's Newstead Flood Study (RORB and TUFLOW models). Option 6b extends the northern end along Mia Mia Creek and realigns the southern end. The study reports flood level increases of up to 400 mm west of the river and a large fill volume, which the design must reduce.</w:t>
      </w:r>
    </w:p>
    <w:p>
      <w:r>
        <w:rPr>
          <w:b/>
        </w:rPr>
        <w:t>Budget and JCE's approach.</w:t>
      </w:r>
      <w:r>
        <w:rPr/>
        <w:t xml:space="preserve"> Council's indicative budget is $125,000 including GST for the whole commission (Brief 1.8). JCE is therefore quoting a lean main offer built on the existing TUFLOW model and NCCMA LiDAR, with investigations as provisional sums that proceed only on Council's written direction, and a fuller scope as an alternative. Please price the main items and the options separately, as set out in Section 6.0.</w:t>
      </w:r>
    </w:p>
    <w:p>
      <w:r>
        <w:rPr>
          <w:b/>
        </w:rPr>
        <w:t>Hold points (Brief 1.5):</w:t>
      </w:r>
      <w:r>
        <w:rPr/>
        <w:t xml:space="preserve"> HP1 program and information gap register; HP2 Design Basis Memorandum; HP3 concept alignment and hydraulic impact review; HP4 50% design; HP5 80% design; HP6 final design and Issued for Tender package with design certification.</w:t>
      </w:r>
    </w:p>
    <w:p>
      <w:r>
        <w:rPr>
          <w:b/>
        </w:rPr>
        <w:t>JCE's role.</w:t>
      </w:r>
      <w:r>
        <w:rPr/>
        <w:t xml:space="preserve"> JCE Infrastructure is tendering as lead consultant (project management, civil and hydraulic design, specification, quantities and estimate). You would be engaged as a sub-consultant to JCE.</w:t>
      </w:r>
    </w:p>
    <w:p>
      <w:pPr>
        <w:pStyle w:val="Heading1"/>
      </w:pPr>
      <w:r>
        <w:t>2.0   SCOPE OF SERVICES</w:t>
      </w:r>
    </w:p>
    <w:p>
      <w:pPr>
        <w:keepNext/>
      </w:pPr>
      <w:r>
        <w:rPr/>
        <w:t>JCE will carry the geotechnical work as a stated provisional sum (PS-A) that proceeds only if Council directs it in writing after HP2. Itemised prices therefore matter. Please price on the indicative basis below, with unit rates:</w:t>
      </w:r>
    </w:p>
    <w:p>
      <w:pPr>
        <w:pStyle w:val="ListBullet"/>
        <w:spacing w:after="60"/>
      </w:pPr>
      <w:r>
        <w:rPr>
          <w:b/>
        </w:rPr>
        <w:t>G1 Desktop study, investigation plan and service clearance:</w:t>
      </w:r>
      <w:r>
        <w:rPr/>
        <w:t xml:space="preserve"> geology, the GHD 2015 levee investigation and 2017 risk assessment (via Council), BYDA and locating, SWMS; access to private land through Council.</w:t>
      </w:r>
    </w:p>
    <w:p>
      <w:pPr>
        <w:pStyle w:val="ListBullet"/>
        <w:spacing w:after="60"/>
      </w:pPr>
      <w:r>
        <w:rPr>
          <w:b/>
        </w:rPr>
        <w:t>G2 Fieldwork, Stage 1 (lean):</w:t>
      </w:r>
      <w:r>
        <w:rPr/>
        <w:t xml:space="preserve"> 8 locations, mainly boreholes through the existing levee crest into the foundation, focused on the southern section rated extreme risk, plus test pits on the new alignment; groundwater observations.</w:t>
      </w:r>
    </w:p>
    <w:p>
      <w:pPr>
        <w:pStyle w:val="ListBullet"/>
        <w:spacing w:after="60"/>
      </w:pPr>
      <w:r>
        <w:rPr>
          <w:b/>
        </w:rPr>
        <w:t>G3 Fieldwork, Stage 2 (full):</w:t>
      </w:r>
      <w:r>
        <w:rPr/>
        <w:t xml:space="preserve"> a further 6 to 8 locations along the Mia Mia Creek extension and realigned sections, with CPT or DCP where useful.</w:t>
      </w:r>
    </w:p>
    <w:p>
      <w:pPr>
        <w:pStyle w:val="ListBullet"/>
        <w:spacing w:after="60"/>
      </w:pPr>
      <w:r>
        <w:rPr>
          <w:b/>
        </w:rPr>
        <w:t>G4 Laboratory testing (NATA):</w:t>
      </w:r>
      <w:r>
        <w:rPr/>
        <w:t xml:space="preserve"> moisture, Atterberg limits, particle size with hydrometer, Emerson class (pinhole where dispersive), standard compaction, permeability, shear strength, and pH, sulfate and chloride; allowance plus unit rates.</w:t>
      </w:r>
    </w:p>
    <w:p>
      <w:pPr>
        <w:pStyle w:val="ListBullet"/>
        <w:spacing w:after="60"/>
      </w:pPr>
      <w:r>
        <w:rPr>
          <w:b/>
        </w:rPr>
        <w:t>G5 Analysis and interpretive report:</w:t>
      </w:r>
      <w:r>
        <w:rPr/>
        <w:t xml:space="preserve"> seepage under flood loading; stability for steady-state flood, rapid drawdown and end of construction; piping and internal erosion; settlement; founding for outlet structures; embankment zoning, material and compaction criteria, treatment of the existing levee and dispersive soils, borrow suitability and construction QA testing.</w:t>
      </w:r>
    </w:p>
    <w:p>
      <w:pPr>
        <w:pStyle w:val="ListBullet"/>
        <w:spacing w:after="60"/>
      </w:pPr>
      <w:r>
        <w:rPr>
          <w:b/>
        </w:rPr>
        <w:t>G6 Design-stage review</w:t>
      </w:r>
      <w:r>
        <w:rPr/>
        <w:t xml:space="preserve"> of JCE's embankment design and specification at 50%, 80% and final (allow 12 hours).</w:t>
      </w:r>
    </w:p>
    <w:p>
      <w:pPr>
        <w:pStyle w:val="ListBullet"/>
        <w:spacing w:after="60"/>
      </w:pPr>
      <w:r>
        <w:rPr>
          <w:b/>
        </w:rPr>
        <w:t>G7 (Option) Contamination screening</w:t>
      </w:r>
      <w:r>
        <w:rPr/>
        <w:t xml:space="preserve"> of existing levee material and borrow (Council's PS-E).</w:t>
      </w:r>
    </w:p>
    <w:p>
      <w:pPr>
        <w:pStyle w:val="Heading1"/>
      </w:pPr>
      <w:r>
        <w:t>3.0   DELIVERABLES</w:t>
      </w:r>
    </w:p>
    <w:p>
      <w:pPr>
        <w:pStyle w:val="ListBullet"/>
        <w:spacing w:after="60"/>
      </w:pPr>
      <w:r>
        <w:rPr/>
        <w:t>Investigation plan and SWMS</w:t>
      </w:r>
    </w:p>
    <w:p>
      <w:pPr>
        <w:pStyle w:val="ListBullet"/>
        <w:spacing w:after="60"/>
      </w:pPr>
      <w:r>
        <w:rPr/>
        <w:t>Factual report: logs, photos, laboratory results, test location plan (PDF)</w:t>
      </w:r>
    </w:p>
    <w:p>
      <w:pPr>
        <w:pStyle w:val="ListBullet"/>
        <w:spacing w:after="60"/>
      </w:pPr>
      <w:r>
        <w:rPr/>
        <w:t>Interpretive report and design recommendations (PDF)</w:t>
      </w:r>
    </w:p>
    <w:p>
      <w:pPr>
        <w:pStyle w:val="ListBullet"/>
        <w:spacing w:after="60"/>
      </w:pPr>
      <w:r>
        <w:rPr/>
        <w:t>Review comments at 50%, 80% and final</w:t>
      </w:r>
    </w:p>
    <w:p>
      <w:pPr>
        <w:pStyle w:val="Heading1"/>
      </w:pPr>
      <w:r>
        <w:t>4.0   PROGRAM</w:t>
      </w:r>
    </w:p>
    <w:tbl>
      <w:tblPr>
        <w:tblW w:type="dxa" w:w="9355"/>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685"/>
        <w:gridCol w:w="5670"/>
      </w:tblGrid>
      <w:tr>
        <w:trPr>
          <w:tblHeader/>
          <w:cantSplit/>
        </w:trPr>
        <w:tc>
          <w:tcPr>
            <w:tcW w:type="dxa" w:w="3685"/>
            <w:shd w:val="clear" w:color="auto" w:fill="000000"/>
          </w:tcPr>
          <w:p>
            <w:r/>
            <w:r>
              <w:rPr>
                <w:b/>
                <w:color w:val="FFFFFF"/>
                <w:sz w:val="19"/>
              </w:rPr>
              <w:t>Item</w:t>
            </w:r>
          </w:p>
        </w:tc>
        <w:tc>
          <w:tcPr>
            <w:tcW w:type="dxa" w:w="5669"/>
            <w:shd w:val="clear" w:color="auto" w:fill="000000"/>
          </w:tcPr>
          <w:p>
            <w:r/>
            <w:r>
              <w:rPr>
                <w:b/>
                <w:color w:val="FFFFFF"/>
                <w:sz w:val="19"/>
              </w:rPr>
              <w:t>Date</w:t>
            </w:r>
          </w:p>
        </w:tc>
      </w:tr>
      <w:tr>
        <w:trPr>
          <w:cantSplit/>
        </w:trPr>
        <w:tc>
          <w:tcPr>
            <w:tcW w:type="dxa" w:w="3685"/>
          </w:tcPr>
          <w:p>
            <w:pPr>
              <w:spacing w:after="20"/>
            </w:pPr>
            <w:r/>
            <w:r>
              <w:rPr>
                <w:sz w:val="19"/>
              </w:rPr>
              <w:t>RFQ issued</w:t>
            </w:r>
          </w:p>
        </w:tc>
        <w:tc>
          <w:tcPr>
            <w:tcW w:type="dxa" w:w="5669"/>
          </w:tcPr>
          <w:p>
            <w:pPr>
              <w:spacing w:after="20"/>
            </w:pPr>
            <w:r/>
            <w:r>
              <w:rPr>
                <w:sz w:val="19"/>
              </w:rPr>
              <w:t>Monday 12/10/2026</w:t>
            </w:r>
          </w:p>
        </w:tc>
      </w:tr>
      <w:tr>
        <w:trPr>
          <w:cantSplit/>
        </w:trPr>
        <w:tc>
          <w:tcPr>
            <w:tcW w:type="dxa" w:w="3685"/>
            <w:shd w:val="clear" w:color="auto" w:fill="F7F1DE"/>
          </w:tcPr>
          <w:p>
            <w:pPr>
              <w:spacing w:after="20"/>
            </w:pPr>
            <w:r/>
            <w:r>
              <w:rPr>
                <w:sz w:val="19"/>
              </w:rPr>
              <w:t>Questions to JCE</w:t>
            </w:r>
          </w:p>
        </w:tc>
        <w:tc>
          <w:tcPr>
            <w:tcW w:type="dxa" w:w="5669"/>
            <w:shd w:val="clear" w:color="auto" w:fill="F7F1DE"/>
          </w:tcPr>
          <w:p>
            <w:pPr>
              <w:spacing w:after="20"/>
            </w:pPr>
            <w:r/>
            <w:r>
              <w:rPr>
                <w:sz w:val="19"/>
              </w:rPr>
              <w:t>By 5:00 pm Wednesday 14/10/2026</w:t>
            </w:r>
          </w:p>
        </w:tc>
      </w:tr>
      <w:tr>
        <w:trPr>
          <w:cantSplit/>
        </w:trPr>
        <w:tc>
          <w:tcPr>
            <w:tcW w:type="dxa" w:w="3685"/>
          </w:tcPr>
          <w:p>
            <w:pPr>
              <w:spacing w:after="20"/>
            </w:pPr>
            <w:r/>
            <w:r>
              <w:rPr>
                <w:b/>
                <w:sz w:val="19"/>
              </w:rPr>
              <w:t>Quotation due</w:t>
            </w:r>
          </w:p>
        </w:tc>
        <w:tc>
          <w:tcPr>
            <w:tcW w:type="dxa" w:w="5669"/>
          </w:tcPr>
          <w:p>
            <w:pPr>
              <w:spacing w:after="20"/>
            </w:pPr>
            <w:r/>
            <w:r>
              <w:rPr>
                <w:b/>
                <w:sz w:val="19"/>
              </w:rPr>
              <w:t>Friday 16/10/2026, 12:00 pm (AEDT)</w:t>
            </w:r>
            <w:r>
              <w:rPr>
                <w:sz w:val="19"/>
              </w:rPr>
              <w:t>, by email to jayden@jceinfrastructure.com.au</w:t>
            </w:r>
          </w:p>
        </w:tc>
      </w:tr>
      <w:tr>
        <w:trPr>
          <w:cantSplit/>
        </w:trPr>
        <w:tc>
          <w:tcPr>
            <w:tcW w:type="dxa" w:w="3685"/>
            <w:shd w:val="clear" w:color="auto" w:fill="F7F1DE"/>
          </w:tcPr>
          <w:p>
            <w:pPr>
              <w:spacing w:after="20"/>
            </w:pPr>
            <w:r/>
            <w:r>
              <w:rPr>
                <w:sz w:val="19"/>
              </w:rPr>
              <w:t>Council's tender closes</w:t>
            </w:r>
          </w:p>
        </w:tc>
        <w:tc>
          <w:tcPr>
            <w:tcW w:type="dxa" w:w="5669"/>
            <w:shd w:val="clear" w:color="auto" w:fill="F7F1DE"/>
          </w:tcPr>
          <w:p>
            <w:pPr>
              <w:spacing w:after="20"/>
            </w:pPr>
            <w:r/>
            <w:r>
              <w:rPr>
                <w:sz w:val="19"/>
              </w:rPr>
              <w:t>Friday 23/10/2026, 2:00 pm (AEDT)</w:t>
            </w:r>
          </w:p>
        </w:tc>
      </w:tr>
      <w:tr>
        <w:trPr>
          <w:cantSplit/>
        </w:trPr>
        <w:tc>
          <w:tcPr>
            <w:tcW w:type="dxa" w:w="3685"/>
          </w:tcPr>
          <w:p>
            <w:pPr>
              <w:spacing w:after="20"/>
            </w:pPr>
            <w:r/>
            <w:r>
              <w:rPr>
                <w:sz w:val="19"/>
              </w:rPr>
              <w:t>Council award (expected)</w:t>
            </w:r>
          </w:p>
        </w:tc>
        <w:tc>
          <w:tcPr>
            <w:tcW w:type="dxa" w:w="5669"/>
          </w:tcPr>
          <w:p>
            <w:pPr>
              <w:spacing w:after="20"/>
            </w:pPr>
            <w:r/>
            <w:r>
              <w:rPr>
                <w:sz w:val="19"/>
              </w:rPr>
              <w:t>Friday 06/11/2026</w:t>
            </w:r>
          </w:p>
        </w:tc>
      </w:tr>
      <w:tr>
        <w:trPr>
          <w:cantSplit/>
        </w:trPr>
        <w:tc>
          <w:tcPr>
            <w:tcW w:type="dxa" w:w="3685"/>
            <w:shd w:val="clear" w:color="auto" w:fill="F7F1DE"/>
          </w:tcPr>
          <w:p>
            <w:pPr>
              <w:spacing w:after="20"/>
            </w:pPr>
            <w:r/>
            <w:r>
              <w:rPr>
                <w:sz w:val="19"/>
              </w:rPr>
              <w:t>Inception meeting and site inspection</w:t>
            </w:r>
          </w:p>
        </w:tc>
        <w:tc>
          <w:tcPr>
            <w:tcW w:type="dxa" w:w="5669"/>
            <w:shd w:val="clear" w:color="auto" w:fill="F7F1DE"/>
          </w:tcPr>
          <w:p>
            <w:pPr>
              <w:spacing w:after="20"/>
            </w:pPr>
            <w:r/>
            <w:r>
              <w:rPr>
                <w:sz w:val="19"/>
              </w:rPr>
              <w:t>Wednesday 18/11/2026</w:t>
            </w:r>
          </w:p>
        </w:tc>
      </w:tr>
      <w:tr>
        <w:trPr>
          <w:cantSplit/>
        </w:trPr>
        <w:tc>
          <w:tcPr>
            <w:tcW w:type="dxa" w:w="3685"/>
          </w:tcPr>
          <w:p>
            <w:pPr>
              <w:spacing w:after="20"/>
            </w:pPr>
            <w:r/>
            <w:r>
              <w:rPr>
                <w:sz w:val="19"/>
              </w:rPr>
              <w:t>HP1</w:t>
            </w:r>
          </w:p>
        </w:tc>
        <w:tc>
          <w:tcPr>
            <w:tcW w:type="dxa" w:w="5669"/>
          </w:tcPr>
          <w:p>
            <w:pPr>
              <w:spacing w:after="20"/>
            </w:pPr>
            <w:r/>
            <w:r>
              <w:rPr>
                <w:sz w:val="19"/>
              </w:rPr>
              <w:t>Friday 20/11/2026</w:t>
            </w:r>
          </w:p>
        </w:tc>
      </w:tr>
      <w:tr>
        <w:trPr>
          <w:cantSplit/>
        </w:trPr>
        <w:tc>
          <w:tcPr>
            <w:tcW w:type="dxa" w:w="3685"/>
            <w:shd w:val="clear" w:color="auto" w:fill="F7F1DE"/>
          </w:tcPr>
          <w:p>
            <w:pPr>
              <w:spacing w:after="20"/>
            </w:pPr>
            <w:r/>
            <w:r>
              <w:rPr>
                <w:sz w:val="19"/>
              </w:rPr>
              <w:t>HP2 Design Basis Memorandum</w:t>
            </w:r>
          </w:p>
        </w:tc>
        <w:tc>
          <w:tcPr>
            <w:tcW w:type="dxa" w:w="5669"/>
            <w:shd w:val="clear" w:color="auto" w:fill="F7F1DE"/>
          </w:tcPr>
          <w:p>
            <w:pPr>
              <w:spacing w:after="20"/>
            </w:pPr>
            <w:r/>
            <w:r>
              <w:rPr>
                <w:sz w:val="19"/>
              </w:rPr>
              <w:t>Friday 04/12/2026</w:t>
            </w:r>
          </w:p>
        </w:tc>
      </w:tr>
      <w:tr>
        <w:trPr>
          <w:cantSplit/>
        </w:trPr>
        <w:tc>
          <w:tcPr>
            <w:tcW w:type="dxa" w:w="3685"/>
          </w:tcPr>
          <w:p>
            <w:pPr>
              <w:spacing w:after="20"/>
            </w:pPr>
            <w:r/>
            <w:r>
              <w:rPr>
                <w:sz w:val="19"/>
              </w:rPr>
              <w:t>Christmas shutdown</w:t>
            </w:r>
          </w:p>
        </w:tc>
        <w:tc>
          <w:tcPr>
            <w:tcW w:type="dxa" w:w="5669"/>
          </w:tcPr>
          <w:p>
            <w:pPr>
              <w:spacing w:after="20"/>
            </w:pPr>
            <w:r/>
            <w:r>
              <w:rPr>
                <w:sz w:val="19"/>
              </w:rPr>
              <w:t>21/12/2026 to 05/01/2027</w:t>
            </w:r>
          </w:p>
        </w:tc>
      </w:tr>
      <w:tr>
        <w:trPr>
          <w:cantSplit/>
        </w:trPr>
        <w:tc>
          <w:tcPr>
            <w:tcW w:type="dxa" w:w="3685"/>
            <w:shd w:val="clear" w:color="auto" w:fill="F7F1DE"/>
          </w:tcPr>
          <w:p>
            <w:pPr>
              <w:spacing w:after="20"/>
            </w:pPr>
            <w:r/>
            <w:r>
              <w:rPr>
                <w:sz w:val="19"/>
              </w:rPr>
              <w:t>HP3 concept and hydraulic impact review</w:t>
            </w:r>
          </w:p>
        </w:tc>
        <w:tc>
          <w:tcPr>
            <w:tcW w:type="dxa" w:w="5669"/>
            <w:shd w:val="clear" w:color="auto" w:fill="F7F1DE"/>
          </w:tcPr>
          <w:p>
            <w:pPr>
              <w:spacing w:after="20"/>
            </w:pPr>
            <w:r/>
            <w:r>
              <w:rPr>
                <w:sz w:val="19"/>
              </w:rPr>
              <w:t>Wednesday 13/01/2027</w:t>
            </w:r>
          </w:p>
        </w:tc>
      </w:tr>
      <w:tr>
        <w:trPr>
          <w:cantSplit/>
        </w:trPr>
        <w:tc>
          <w:tcPr>
            <w:tcW w:type="dxa" w:w="3685"/>
          </w:tcPr>
          <w:p>
            <w:pPr>
              <w:spacing w:after="20"/>
            </w:pPr>
            <w:r/>
            <w:r>
              <w:rPr>
                <w:sz w:val="19"/>
              </w:rPr>
              <w:t>HP4 50% design</w:t>
            </w:r>
          </w:p>
        </w:tc>
        <w:tc>
          <w:tcPr>
            <w:tcW w:type="dxa" w:w="5669"/>
          </w:tcPr>
          <w:p>
            <w:pPr>
              <w:spacing w:after="20"/>
            </w:pPr>
            <w:r/>
            <w:r>
              <w:rPr>
                <w:sz w:val="19"/>
              </w:rPr>
              <w:t>Friday 29/01/2027</w:t>
            </w:r>
          </w:p>
        </w:tc>
      </w:tr>
      <w:tr>
        <w:trPr>
          <w:cantSplit/>
        </w:trPr>
        <w:tc>
          <w:tcPr>
            <w:tcW w:type="dxa" w:w="3685"/>
            <w:shd w:val="clear" w:color="auto" w:fill="F7F1DE"/>
          </w:tcPr>
          <w:p>
            <w:pPr>
              <w:spacing w:after="20"/>
            </w:pPr>
            <w:r/>
            <w:r>
              <w:rPr>
                <w:sz w:val="19"/>
              </w:rPr>
              <w:t>HP5 80% design</w:t>
            </w:r>
          </w:p>
        </w:tc>
        <w:tc>
          <w:tcPr>
            <w:tcW w:type="dxa" w:w="5669"/>
            <w:shd w:val="clear" w:color="auto" w:fill="F7F1DE"/>
          </w:tcPr>
          <w:p>
            <w:pPr>
              <w:spacing w:after="20"/>
            </w:pPr>
            <w:r/>
            <w:r>
              <w:rPr>
                <w:sz w:val="19"/>
              </w:rPr>
              <w:t>Friday 12/02/2027</w:t>
            </w:r>
          </w:p>
        </w:tc>
      </w:tr>
      <w:tr>
        <w:trPr>
          <w:cantSplit/>
        </w:trPr>
        <w:tc>
          <w:tcPr>
            <w:tcW w:type="dxa" w:w="3685"/>
          </w:tcPr>
          <w:p>
            <w:pPr>
              <w:spacing w:after="20"/>
            </w:pPr>
            <w:r/>
            <w:r>
              <w:rPr>
                <w:b/>
                <w:sz w:val="19"/>
              </w:rPr>
              <w:t>HP6 final design and Issued for Tender package</w:t>
            </w:r>
          </w:p>
        </w:tc>
        <w:tc>
          <w:tcPr>
            <w:tcW w:type="dxa" w:w="5669"/>
          </w:tcPr>
          <w:p>
            <w:pPr>
              <w:spacing w:after="20"/>
            </w:pPr>
            <w:r/>
            <w:r>
              <w:rPr>
                <w:b/>
                <w:sz w:val="19"/>
              </w:rPr>
              <w:t>Friday 26/02/2027 (fixed by Council)</w:t>
            </w:r>
          </w:p>
        </w:tc>
      </w:tr>
      <w:tr>
        <w:trPr>
          <w:cantSplit/>
        </w:trPr>
        <w:tc>
          <w:tcPr>
            <w:tcW w:type="dxa" w:w="3685"/>
            <w:shd w:val="clear" w:color="auto" w:fill="F7F1DE"/>
          </w:tcPr>
          <w:p>
            <w:pPr>
              <w:spacing w:after="20"/>
            </w:pPr>
            <w:r/>
            <w:r>
              <w:rPr>
                <w:sz w:val="19"/>
              </w:rPr>
              <w:t>Direction from Council (if given)</w:t>
            </w:r>
          </w:p>
        </w:tc>
        <w:tc>
          <w:tcPr>
            <w:tcW w:type="dxa" w:w="5669"/>
            <w:shd w:val="clear" w:color="auto" w:fill="F7F1DE"/>
          </w:tcPr>
          <w:p>
            <w:pPr>
              <w:spacing w:after="20"/>
            </w:pPr>
            <w:r/>
            <w:r>
              <w:rPr>
                <w:sz w:val="19"/>
              </w:rPr>
              <w:t>By Friday 27/11/2026</w:t>
            </w:r>
          </w:p>
        </w:tc>
      </w:tr>
      <w:tr>
        <w:trPr>
          <w:cantSplit/>
        </w:trPr>
        <w:tc>
          <w:tcPr>
            <w:tcW w:type="dxa" w:w="3685"/>
          </w:tcPr>
          <w:p>
            <w:pPr>
              <w:spacing w:after="20"/>
            </w:pPr>
            <w:r/>
            <w:r>
              <w:rPr>
                <w:sz w:val="19"/>
              </w:rPr>
              <w:t>Fieldwork</w:t>
            </w:r>
          </w:p>
        </w:tc>
        <w:tc>
          <w:tcPr>
            <w:tcW w:type="dxa" w:w="5669"/>
          </w:tcPr>
          <w:p>
            <w:pPr>
              <w:spacing w:after="20"/>
            </w:pPr>
            <w:r/>
            <w:r>
              <w:rPr>
                <w:sz w:val="19"/>
              </w:rPr>
              <w:t>30/11/2026 to 11/12/2026, subject to direction and access</w:t>
            </w:r>
          </w:p>
        </w:tc>
      </w:tr>
      <w:tr>
        <w:trPr>
          <w:cantSplit/>
        </w:trPr>
        <w:tc>
          <w:tcPr>
            <w:tcW w:type="dxa" w:w="3685"/>
            <w:shd w:val="clear" w:color="auto" w:fill="F7F1DE"/>
          </w:tcPr>
          <w:p>
            <w:pPr>
              <w:spacing w:after="20"/>
            </w:pPr>
            <w:r/>
            <w:r>
              <w:rPr>
                <w:sz w:val="19"/>
              </w:rPr>
              <w:t>Factual report</w:t>
            </w:r>
          </w:p>
        </w:tc>
        <w:tc>
          <w:tcPr>
            <w:tcW w:type="dxa" w:w="5669"/>
            <w:shd w:val="clear" w:color="auto" w:fill="F7F1DE"/>
          </w:tcPr>
          <w:p>
            <w:pPr>
              <w:spacing w:after="20"/>
            </w:pPr>
            <w:r/>
            <w:r>
              <w:rPr>
                <w:sz w:val="19"/>
              </w:rPr>
              <w:t>Friday 18/12/2026 (laboratory results by 08/01/2027)</w:t>
            </w:r>
          </w:p>
        </w:tc>
      </w:tr>
      <w:tr>
        <w:trPr>
          <w:cantSplit/>
        </w:trPr>
        <w:tc>
          <w:tcPr>
            <w:tcW w:type="dxa" w:w="3685"/>
          </w:tcPr>
          <w:p>
            <w:pPr>
              <w:spacing w:after="20"/>
            </w:pPr>
            <w:r/>
            <w:r>
              <w:rPr>
                <w:sz w:val="19"/>
              </w:rPr>
              <w:t>Interpretive report</w:t>
            </w:r>
          </w:p>
        </w:tc>
        <w:tc>
          <w:tcPr>
            <w:tcW w:type="dxa" w:w="5669"/>
          </w:tcPr>
          <w:p>
            <w:pPr>
              <w:spacing w:after="20"/>
            </w:pPr>
            <w:r/>
            <w:r>
              <w:rPr>
                <w:sz w:val="19"/>
              </w:rPr>
              <w:t>Friday 15/01/2027 (input to the 50% design)</w:t>
            </w:r>
          </w:p>
        </w:tc>
      </w:tr>
    </w:tbl>
    <w:p>
      <w:pPr>
        <w:spacing w:after="40"/>
      </w:pPr>
    </w:p>
    <w:p>
      <w:pPr>
        <w:pStyle w:val="Heading1"/>
      </w:pPr>
      <w:r>
        <w:t>5.0   REQUIREMENTS</w:t>
      </w:r>
    </w:p>
    <w:p>
      <w:r>
        <w:rPr>
          <w:b/>
        </w:rPr>
        <w:t>Registration.</w:t>
      </w:r>
      <w:r>
        <w:rPr/>
        <w:t xml:space="preserve"> Geotechnical advice relied on for the design must be provided or supervised by an engineer registered under the Professional Engineers Registration Act 2019 (Vic) in an appropriate area. Laboratory testing must be NATA-accredited.</w:t>
      </w:r>
    </w:p>
    <w:p>
      <w:pPr>
        <w:keepNext/>
      </w:pPr>
      <w:r>
        <w:rPr>
          <w:b/>
        </w:rPr>
        <w:t>Insurance (as Council requires of JCE: Brief 1.13, Annexure Part A Items 25 to 27).</w:t>
      </w:r>
      <w:r>
        <w:rPr/>
        <w:t xml:space="preserve"> Please confirm you hold, and will maintain for the engagement:</w:t>
      </w:r>
    </w:p>
    <w:p>
      <w:pPr>
        <w:pStyle w:val="ListBullet"/>
        <w:spacing w:after="60"/>
      </w:pPr>
      <w:r>
        <w:rPr/>
        <w:t>public liability of not less than $20 million;</w:t>
      </w:r>
    </w:p>
    <w:p>
      <w:pPr>
        <w:pStyle w:val="ListBullet"/>
        <w:spacing w:after="60"/>
      </w:pPr>
      <w:r>
        <w:rPr/>
        <w:t>professional indemnity of not less than $5 million, maintained for five years after completion of the services;</w:t>
      </w:r>
    </w:p>
    <w:p>
      <w:pPr>
        <w:pStyle w:val="ListBullet"/>
        <w:spacing w:after="60"/>
      </w:pPr>
      <w:r>
        <w:rPr/>
        <w:t>workers compensation (WorkSafe Victoria or equivalent) covering all workers.</w:t>
      </w:r>
    </w:p>
    <w:p>
      <w:r>
        <w:rPr/>
        <w:t>Please attach certificates of currency. If your cover differs, state the levels you hold so JCE can raise them with Council. Council's contract states no limit on the consultant's liability.</w:t>
      </w:r>
    </w:p>
    <w:p>
      <w:r>
        <w:rPr>
          <w:b/>
        </w:rPr>
        <w:t>Work health and safety.</w:t>
      </w:r>
      <w:r>
        <w:rPr/>
        <w:t xml:space="preserve"> Compliance with the Occupational Health and Safety Act 2004 (Vic) and OHS Regulations 2017, Council's online contractor induction, and a site-specific risk assessment or SWMS for any fieldwork (work near water, traffic, underground services and private land). JCE's Subconsultant and Contractor WHS Management Procedure (JCE-WHS-PRO-009) applies.</w:t>
      </w:r>
    </w:p>
    <w:p>
      <w:r>
        <w:rPr>
          <w:b/>
        </w:rPr>
        <w:t>Independence and conflict of interest.</w:t>
      </w:r>
      <w:r>
        <w:rPr/>
        <w:t xml:space="preserve"> Please declare any actual or perceived conflict, including any current engagement with Council or NCCMA on this project, any role in the Newstead Flood Study, any relationship with landowners along the alignment, and whether you are quoting to or tendering with another party for RFQ M2025-125. You may quote to others, but please tell us, and keep JCE's information separate.</w:t>
      </w:r>
    </w:p>
    <w:p>
      <w:r>
        <w:rPr>
          <w:b/>
        </w:rPr>
        <w:t>Quality and personnel.</w:t>
      </w:r>
      <w:r>
        <w:rPr/>
        <w:t xml:space="preserve"> Internal checking of all deliverables before issue to JCE; nominate key personnel with short CVs and confirm availability for the program in Section 4.0.</w:t>
      </w:r>
    </w:p>
    <w:p>
      <w:pPr>
        <w:pStyle w:val="Heading1"/>
      </w:pPr>
      <w:r>
        <w:t>6.0   PRICING SCHEDULE</w:t>
      </w:r>
    </w:p>
    <w:p>
      <w:pPr>
        <w:keepNext/>
      </w:pPr>
      <w:r>
        <w:rPr/>
        <w:t>Please complete in AUD, excluding GST. Items marked Main are in JCE's main offer; items marked Option or Alternative A are priced separately and may not be engaged.</w:t>
      </w:r>
    </w:p>
    <w:tbl>
      <w:tblPr>
        <w:tblW w:type="dxa" w:w="9355"/>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793"/>
        <w:gridCol w:w="5670"/>
        <w:gridCol w:w="1360"/>
        <w:gridCol w:w="1530"/>
      </w:tblGrid>
      <w:tr>
        <w:trPr>
          <w:tblHeader/>
          <w:cantSplit/>
        </w:trPr>
        <w:tc>
          <w:tcPr>
            <w:tcW w:type="dxa" w:w="794"/>
            <w:shd w:val="clear" w:color="auto" w:fill="000000"/>
          </w:tcPr>
          <w:p>
            <w:pPr>
              <w:keepNext/>
            </w:pPr>
            <w:r/>
            <w:r>
              <w:rPr>
                <w:b/>
                <w:color w:val="FFFFFF"/>
                <w:sz w:val="19"/>
              </w:rPr>
              <w:t>Item</w:t>
            </w:r>
          </w:p>
        </w:tc>
        <w:tc>
          <w:tcPr>
            <w:tcW w:type="dxa" w:w="5669"/>
            <w:shd w:val="clear" w:color="auto" w:fill="000000"/>
          </w:tcPr>
          <w:p>
            <w:pPr>
              <w:keepNext/>
            </w:pPr>
            <w:r/>
            <w:r>
              <w:rPr>
                <w:b/>
                <w:color w:val="FFFFFF"/>
                <w:sz w:val="19"/>
              </w:rPr>
              <w:t>Description</w:t>
            </w:r>
          </w:p>
        </w:tc>
        <w:tc>
          <w:tcPr>
            <w:tcW w:type="dxa" w:w="1361"/>
            <w:shd w:val="clear" w:color="auto" w:fill="000000"/>
          </w:tcPr>
          <w:p>
            <w:pPr>
              <w:keepNext/>
            </w:pPr>
            <w:r/>
            <w:r>
              <w:rPr>
                <w:b/>
                <w:color w:val="FFFFFF"/>
                <w:sz w:val="19"/>
              </w:rPr>
              <w:t>Basis</w:t>
            </w:r>
          </w:p>
        </w:tc>
        <w:tc>
          <w:tcPr>
            <w:tcW w:type="dxa" w:w="1531"/>
            <w:shd w:val="clear" w:color="auto" w:fill="000000"/>
          </w:tcPr>
          <w:p>
            <w:pPr>
              <w:keepNext/>
            </w:pPr>
            <w:r/>
            <w:r>
              <w:rPr>
                <w:b/>
                <w:color w:val="FFFFFF"/>
                <w:sz w:val="19"/>
              </w:rPr>
              <w:t>Price (excl. GST)</w:t>
            </w:r>
          </w:p>
        </w:tc>
      </w:tr>
      <w:tr>
        <w:trPr>
          <w:cantSplit/>
        </w:trPr>
        <w:tc>
          <w:tcPr>
            <w:tcW w:type="dxa" w:w="794"/>
          </w:tcPr>
          <w:p>
            <w:pPr>
              <w:keepNext/>
              <w:spacing w:after="20"/>
            </w:pPr>
            <w:r/>
            <w:r>
              <w:rPr>
                <w:sz w:val="19"/>
              </w:rPr>
              <w:t>G1</w:t>
            </w:r>
          </w:p>
        </w:tc>
        <w:tc>
          <w:tcPr>
            <w:tcW w:type="dxa" w:w="5669"/>
          </w:tcPr>
          <w:p>
            <w:pPr>
              <w:keepNext/>
              <w:spacing w:after="20"/>
            </w:pPr>
            <w:r/>
            <w:r>
              <w:rPr>
                <w:sz w:val="19"/>
              </w:rPr>
              <w:t>Desktop study, plan, service clearance</w:t>
            </w:r>
          </w:p>
        </w:tc>
        <w:tc>
          <w:tcPr>
            <w:tcW w:type="dxa" w:w="1361"/>
          </w:tcPr>
          <w:p>
            <w:pPr>
              <w:keepNext/>
              <w:spacing w:after="20"/>
            </w:pPr>
            <w:r/>
            <w:r>
              <w:rPr>
                <w:sz w:val="19"/>
              </w:rPr>
              <w:t>PS, lump sum</w:t>
            </w:r>
          </w:p>
        </w:tc>
        <w:tc>
          <w:tcPr>
            <w:tcW w:type="dxa" w:w="1531"/>
          </w:tcPr>
          <w:p>
            <w:pPr>
              <w:keepNext/>
              <w:spacing w:after="20"/>
            </w:pPr>
            <w:r/>
            <w:r>
              <w:rPr>
                <w:sz w:val="19"/>
              </w:rPr>
              <w:t>$</w:t>
            </w:r>
          </w:p>
        </w:tc>
      </w:tr>
      <w:tr>
        <w:trPr>
          <w:cantSplit/>
        </w:trPr>
        <w:tc>
          <w:tcPr>
            <w:tcW w:type="dxa" w:w="794"/>
            <w:shd w:val="clear" w:color="auto" w:fill="F7F1DE"/>
          </w:tcPr>
          <w:p>
            <w:pPr>
              <w:keepNext/>
              <w:spacing w:after="20"/>
            </w:pPr>
            <w:r/>
            <w:r>
              <w:rPr>
                <w:sz w:val="19"/>
              </w:rPr>
              <w:t>G2</w:t>
            </w:r>
          </w:p>
        </w:tc>
        <w:tc>
          <w:tcPr>
            <w:tcW w:type="dxa" w:w="5669"/>
            <w:shd w:val="clear" w:color="auto" w:fill="F7F1DE"/>
          </w:tcPr>
          <w:p>
            <w:pPr>
              <w:keepNext/>
              <w:spacing w:after="20"/>
            </w:pPr>
            <w:r/>
            <w:r>
              <w:rPr>
                <w:sz w:val="19"/>
              </w:rPr>
              <w:t>Fieldwork Stage 1 (8 locations)</w:t>
            </w:r>
          </w:p>
        </w:tc>
        <w:tc>
          <w:tcPr>
            <w:tcW w:type="dxa" w:w="1361"/>
            <w:shd w:val="clear" w:color="auto" w:fill="F7F1DE"/>
          </w:tcPr>
          <w:p>
            <w:pPr>
              <w:keepNext/>
              <w:spacing w:after="20"/>
            </w:pPr>
            <w:r/>
            <w:r>
              <w:rPr>
                <w:sz w:val="19"/>
              </w:rPr>
              <w:t>PS, lump sum</w:t>
            </w:r>
          </w:p>
        </w:tc>
        <w:tc>
          <w:tcPr>
            <w:tcW w:type="dxa" w:w="1531"/>
            <w:shd w:val="clear" w:color="auto" w:fill="F7F1DE"/>
          </w:tcPr>
          <w:p>
            <w:pPr>
              <w:keepNext/>
              <w:spacing w:after="20"/>
            </w:pPr>
            <w:r/>
            <w:r>
              <w:rPr>
                <w:sz w:val="19"/>
              </w:rPr>
              <w:t>$</w:t>
            </w:r>
          </w:p>
        </w:tc>
      </w:tr>
      <w:tr>
        <w:trPr>
          <w:cantSplit/>
        </w:trPr>
        <w:tc>
          <w:tcPr>
            <w:tcW w:type="dxa" w:w="794"/>
          </w:tcPr>
          <w:p>
            <w:pPr>
              <w:keepNext/>
              <w:spacing w:after="20"/>
            </w:pPr>
            <w:r/>
            <w:r>
              <w:rPr>
                <w:sz w:val="19"/>
              </w:rPr>
              <w:t>G3</w:t>
            </w:r>
          </w:p>
        </w:tc>
        <w:tc>
          <w:tcPr>
            <w:tcW w:type="dxa" w:w="5669"/>
          </w:tcPr>
          <w:p>
            <w:pPr>
              <w:keepNext/>
              <w:spacing w:after="20"/>
            </w:pPr>
            <w:r/>
            <w:r>
              <w:rPr>
                <w:sz w:val="19"/>
              </w:rPr>
              <w:t>Fieldwork Stage 2 (6 to 8 locations)</w:t>
            </w:r>
          </w:p>
        </w:tc>
        <w:tc>
          <w:tcPr>
            <w:tcW w:type="dxa" w:w="1361"/>
          </w:tcPr>
          <w:p>
            <w:pPr>
              <w:keepNext/>
              <w:spacing w:after="20"/>
            </w:pPr>
            <w:r/>
            <w:r>
              <w:rPr>
                <w:sz w:val="19"/>
              </w:rPr>
              <w:t>PS, lump sum</w:t>
            </w:r>
          </w:p>
        </w:tc>
        <w:tc>
          <w:tcPr>
            <w:tcW w:type="dxa" w:w="1531"/>
          </w:tcPr>
          <w:p>
            <w:pPr>
              <w:keepNext/>
              <w:spacing w:after="20"/>
            </w:pPr>
            <w:r/>
            <w:r>
              <w:rPr>
                <w:sz w:val="19"/>
              </w:rPr>
              <w:t>$</w:t>
            </w:r>
          </w:p>
        </w:tc>
      </w:tr>
      <w:tr>
        <w:trPr>
          <w:cantSplit/>
        </w:trPr>
        <w:tc>
          <w:tcPr>
            <w:tcW w:type="dxa" w:w="794"/>
            <w:shd w:val="clear" w:color="auto" w:fill="F7F1DE"/>
          </w:tcPr>
          <w:p>
            <w:pPr>
              <w:keepNext/>
              <w:spacing w:after="20"/>
            </w:pPr>
            <w:r/>
            <w:r>
              <w:rPr>
                <w:sz w:val="19"/>
              </w:rPr>
              <w:t>G4</w:t>
            </w:r>
          </w:p>
        </w:tc>
        <w:tc>
          <w:tcPr>
            <w:tcW w:type="dxa" w:w="5669"/>
            <w:shd w:val="clear" w:color="auto" w:fill="F7F1DE"/>
          </w:tcPr>
          <w:p>
            <w:pPr>
              <w:keepNext/>
              <w:spacing w:after="20"/>
            </w:pPr>
            <w:r/>
            <w:r>
              <w:rPr>
                <w:sz w:val="19"/>
              </w:rPr>
              <w:t>Laboratory testing allowance</w:t>
            </w:r>
          </w:p>
        </w:tc>
        <w:tc>
          <w:tcPr>
            <w:tcW w:type="dxa" w:w="1361"/>
            <w:shd w:val="clear" w:color="auto" w:fill="F7F1DE"/>
          </w:tcPr>
          <w:p>
            <w:pPr>
              <w:keepNext/>
              <w:spacing w:after="20"/>
            </w:pPr>
            <w:r/>
            <w:r>
              <w:rPr>
                <w:sz w:val="19"/>
              </w:rPr>
              <w:t>PS, allowance</w:t>
            </w:r>
          </w:p>
        </w:tc>
        <w:tc>
          <w:tcPr>
            <w:tcW w:type="dxa" w:w="1531"/>
            <w:shd w:val="clear" w:color="auto" w:fill="F7F1DE"/>
          </w:tcPr>
          <w:p>
            <w:pPr>
              <w:keepNext/>
              <w:spacing w:after="20"/>
            </w:pPr>
            <w:r/>
            <w:r>
              <w:rPr>
                <w:sz w:val="19"/>
              </w:rPr>
              <w:t>$</w:t>
            </w:r>
          </w:p>
        </w:tc>
      </w:tr>
      <w:tr>
        <w:trPr>
          <w:cantSplit/>
        </w:trPr>
        <w:tc>
          <w:tcPr>
            <w:tcW w:type="dxa" w:w="794"/>
          </w:tcPr>
          <w:p>
            <w:pPr>
              <w:keepNext/>
              <w:spacing w:after="20"/>
            </w:pPr>
            <w:r/>
            <w:r>
              <w:rPr>
                <w:sz w:val="19"/>
              </w:rPr>
              <w:t>G5</w:t>
            </w:r>
          </w:p>
        </w:tc>
        <w:tc>
          <w:tcPr>
            <w:tcW w:type="dxa" w:w="5669"/>
          </w:tcPr>
          <w:p>
            <w:pPr>
              <w:keepNext/>
              <w:spacing w:after="20"/>
            </w:pPr>
            <w:r/>
            <w:r>
              <w:rPr>
                <w:sz w:val="19"/>
              </w:rPr>
              <w:t>Analysis and interpretive report</w:t>
            </w:r>
          </w:p>
        </w:tc>
        <w:tc>
          <w:tcPr>
            <w:tcW w:type="dxa" w:w="1361"/>
          </w:tcPr>
          <w:p>
            <w:pPr>
              <w:keepNext/>
              <w:spacing w:after="20"/>
            </w:pPr>
            <w:r/>
            <w:r>
              <w:rPr>
                <w:sz w:val="19"/>
              </w:rPr>
              <w:t>PS, lump sum</w:t>
            </w:r>
          </w:p>
        </w:tc>
        <w:tc>
          <w:tcPr>
            <w:tcW w:type="dxa" w:w="1531"/>
          </w:tcPr>
          <w:p>
            <w:pPr>
              <w:keepNext/>
              <w:spacing w:after="20"/>
            </w:pPr>
            <w:r/>
            <w:r>
              <w:rPr>
                <w:sz w:val="19"/>
              </w:rPr>
              <w:t>$</w:t>
            </w:r>
          </w:p>
        </w:tc>
      </w:tr>
      <w:tr>
        <w:trPr>
          <w:cantSplit/>
        </w:trPr>
        <w:tc>
          <w:tcPr>
            <w:tcW w:type="dxa" w:w="794"/>
            <w:shd w:val="clear" w:color="auto" w:fill="F7F1DE"/>
          </w:tcPr>
          <w:p>
            <w:pPr>
              <w:keepNext/>
              <w:spacing w:after="20"/>
            </w:pPr>
            <w:r/>
            <w:r>
              <w:rPr>
                <w:sz w:val="19"/>
              </w:rPr>
              <w:t>G6</w:t>
            </w:r>
          </w:p>
        </w:tc>
        <w:tc>
          <w:tcPr>
            <w:tcW w:type="dxa" w:w="5669"/>
            <w:shd w:val="clear" w:color="auto" w:fill="F7F1DE"/>
          </w:tcPr>
          <w:p>
            <w:pPr>
              <w:keepNext/>
              <w:spacing w:after="20"/>
            </w:pPr>
            <w:r/>
            <w:r>
              <w:rPr>
                <w:sz w:val="19"/>
              </w:rPr>
              <w:t>Design-stage review (12 h)</w:t>
            </w:r>
          </w:p>
        </w:tc>
        <w:tc>
          <w:tcPr>
            <w:tcW w:type="dxa" w:w="1361"/>
            <w:shd w:val="clear" w:color="auto" w:fill="F7F1DE"/>
          </w:tcPr>
          <w:p>
            <w:pPr>
              <w:keepNext/>
              <w:spacing w:after="20"/>
            </w:pPr>
            <w:r/>
            <w:r>
              <w:rPr>
                <w:sz w:val="19"/>
              </w:rPr>
              <w:t>PS, hourly</w:t>
            </w:r>
          </w:p>
        </w:tc>
        <w:tc>
          <w:tcPr>
            <w:tcW w:type="dxa" w:w="1531"/>
            <w:shd w:val="clear" w:color="auto" w:fill="F7F1DE"/>
          </w:tcPr>
          <w:p>
            <w:pPr>
              <w:keepNext/>
              <w:spacing w:after="20"/>
            </w:pPr>
            <w:r/>
            <w:r>
              <w:rPr>
                <w:sz w:val="19"/>
              </w:rPr>
              <w:t>$</w:t>
            </w:r>
          </w:p>
        </w:tc>
      </w:tr>
      <w:tr>
        <w:trPr>
          <w:cantSplit/>
        </w:trPr>
        <w:tc>
          <w:tcPr>
            <w:tcW w:type="dxa" w:w="794"/>
          </w:tcPr>
          <w:p>
            <w:pPr>
              <w:keepNext/>
              <w:spacing w:after="20"/>
            </w:pPr>
            <w:r/>
          </w:p>
        </w:tc>
        <w:tc>
          <w:tcPr>
            <w:tcW w:type="dxa" w:w="5669"/>
          </w:tcPr>
          <w:p>
            <w:pPr>
              <w:keepNext/>
              <w:spacing w:after="20"/>
            </w:pPr>
            <w:r/>
            <w:r>
              <w:rPr>
                <w:b/>
                <w:sz w:val="19"/>
              </w:rPr>
              <w:t>Total G1 to G6</w:t>
            </w:r>
          </w:p>
        </w:tc>
        <w:tc>
          <w:tcPr>
            <w:tcW w:type="dxa" w:w="1361"/>
          </w:tcPr>
          <w:p>
            <w:pPr>
              <w:keepNext/>
              <w:spacing w:after="20"/>
            </w:pPr>
            <w:r/>
          </w:p>
        </w:tc>
        <w:tc>
          <w:tcPr>
            <w:tcW w:type="dxa" w:w="1531"/>
          </w:tcPr>
          <w:p>
            <w:pPr>
              <w:keepNext/>
              <w:spacing w:after="20"/>
            </w:pPr>
            <w:r/>
            <w:r>
              <w:rPr>
                <w:b/>
                <w:sz w:val="19"/>
              </w:rPr>
              <w:t>$</w:t>
            </w:r>
          </w:p>
        </w:tc>
      </w:tr>
      <w:tr>
        <w:trPr>
          <w:cantSplit/>
        </w:trPr>
        <w:tc>
          <w:tcPr>
            <w:tcW w:type="dxa" w:w="794"/>
            <w:shd w:val="clear" w:color="auto" w:fill="F7F1DE"/>
          </w:tcPr>
          <w:p>
            <w:pPr>
              <w:keepNext/>
              <w:spacing w:after="20"/>
            </w:pPr>
            <w:r/>
          </w:p>
        </w:tc>
        <w:tc>
          <w:tcPr>
            <w:tcW w:type="dxa" w:w="5669"/>
            <w:shd w:val="clear" w:color="auto" w:fill="F7F1DE"/>
          </w:tcPr>
          <w:p>
            <w:pPr>
              <w:keepNext/>
              <w:spacing w:after="20"/>
            </w:pPr>
            <w:r/>
            <w:r>
              <w:rPr>
                <w:sz w:val="19"/>
              </w:rPr>
              <w:t>Unit rates: borehole per m, test pit, CPT, DCP, each laboratory test</w:t>
            </w:r>
          </w:p>
        </w:tc>
        <w:tc>
          <w:tcPr>
            <w:tcW w:type="dxa" w:w="1361"/>
            <w:shd w:val="clear" w:color="auto" w:fill="F7F1DE"/>
          </w:tcPr>
          <w:p>
            <w:pPr>
              <w:keepNext/>
              <w:spacing w:after="20"/>
            </w:pPr>
            <w:r/>
            <w:r>
              <w:rPr>
                <w:sz w:val="19"/>
              </w:rPr>
              <w:t>Rates</w:t>
            </w:r>
          </w:p>
        </w:tc>
        <w:tc>
          <w:tcPr>
            <w:tcW w:type="dxa" w:w="1531"/>
            <w:shd w:val="clear" w:color="auto" w:fill="F7F1DE"/>
          </w:tcPr>
          <w:p>
            <w:pPr>
              <w:keepNext/>
              <w:spacing w:after="20"/>
            </w:pPr>
            <w:r/>
            <w:r>
              <w:rPr>
                <w:sz w:val="19"/>
              </w:rPr>
              <w:t>Attach</w:t>
            </w:r>
          </w:p>
        </w:tc>
      </w:tr>
      <w:tr>
        <w:trPr>
          <w:cantSplit/>
        </w:trPr>
        <w:tc>
          <w:tcPr>
            <w:tcW w:type="dxa" w:w="794"/>
          </w:tcPr>
          <w:p>
            <w:pPr>
              <w:spacing w:after="20"/>
            </w:pPr>
            <w:r/>
            <w:r>
              <w:rPr>
                <w:sz w:val="19"/>
              </w:rPr>
              <w:t>G7</w:t>
            </w:r>
          </w:p>
        </w:tc>
        <w:tc>
          <w:tcPr>
            <w:tcW w:type="dxa" w:w="5669"/>
          </w:tcPr>
          <w:p>
            <w:pPr>
              <w:spacing w:after="20"/>
            </w:pPr>
            <w:r/>
            <w:r>
              <w:rPr>
                <w:sz w:val="19"/>
              </w:rPr>
              <w:t>Contamination screening</w:t>
            </w:r>
          </w:p>
        </w:tc>
        <w:tc>
          <w:tcPr>
            <w:tcW w:type="dxa" w:w="1361"/>
          </w:tcPr>
          <w:p>
            <w:pPr>
              <w:spacing w:after="20"/>
            </w:pPr>
            <w:r/>
            <w:r>
              <w:rPr>
                <w:sz w:val="19"/>
              </w:rPr>
              <w:t>Option</w:t>
            </w:r>
          </w:p>
        </w:tc>
        <w:tc>
          <w:tcPr>
            <w:tcW w:type="dxa" w:w="1531"/>
          </w:tcPr>
          <w:p>
            <w:pPr>
              <w:spacing w:after="20"/>
            </w:pPr>
            <w:r/>
            <w:r>
              <w:rPr>
                <w:sz w:val="19"/>
              </w:rPr>
              <w:t>$</w:t>
            </w:r>
          </w:p>
        </w:tc>
      </w:tr>
    </w:tbl>
    <w:p>
      <w:pPr>
        <w:spacing w:after="40"/>
      </w:pPr>
    </w:p>
    <w:p>
      <w:r>
        <w:rPr/>
        <w:t>JCE's tender carries a provisional sum allowance of $45,000 excluding GST (before JCE's margin). Council scores local content: please state whether your firm or laboratory is based in Mount Alexander Shire or an adjoining municipality.</w:t>
      </w:r>
    </w:p>
    <w:p>
      <w:pPr>
        <w:pStyle w:val="Heading1"/>
      </w:pPr>
      <w:r>
        <w:t>6.1   QUOTATION CONTENT AND VALIDITY</w:t>
      </w:r>
    </w:p>
    <w:p>
      <w:pPr>
        <w:pStyle w:val="ListBullet"/>
        <w:spacing w:after="60"/>
      </w:pPr>
      <w:r>
        <w:rPr/>
        <w:t>Lump sums against each item in Section 6.0, in AUD excluding GST, using the same item references.</w:t>
      </w:r>
    </w:p>
    <w:p>
      <w:pPr>
        <w:pStyle w:val="ListBullet"/>
        <w:spacing w:after="60"/>
      </w:pPr>
      <w:r>
        <w:rPr/>
        <w:t>A schedule of hourly rates by role for variations (these go into Council's Schedule D).</w:t>
      </w:r>
    </w:p>
    <w:p>
      <w:pPr>
        <w:pStyle w:val="ListBullet"/>
        <w:spacing w:after="60"/>
      </w:pPr>
      <w:r>
        <w:rPr/>
        <w:t>Disbursements (travel, accommodation, equipment, laboratory), included or listed separately.</w:t>
      </w:r>
    </w:p>
    <w:p>
      <w:pPr>
        <w:pStyle w:val="ListBullet"/>
        <w:spacing w:after="60"/>
      </w:pPr>
      <w:r>
        <w:rPr/>
        <w:t>Inclusions, exclusions and assumptions.</w:t>
      </w:r>
    </w:p>
    <w:p>
      <w:pPr>
        <w:pStyle w:val="ListBullet"/>
        <w:spacing w:after="60"/>
      </w:pPr>
      <w:r>
        <w:rPr/>
        <w:t>Validity of at least ninety (90) days from the quotation due date (to 14/01/2027). Council may negotiate for 60 days after close and expects to award on 06/11/2026.</w:t>
      </w:r>
    </w:p>
    <w:p>
      <w:pPr>
        <w:pStyle w:val="Heading1"/>
      </w:pPr>
      <w:r>
        <w:t>7.0   CONFIDENTIALITY</w:t>
      </w:r>
    </w:p>
    <w:p>
      <w:r>
        <w:rPr/>
        <w:t>This request and the tender information attached are confidential. They are issued only so you can quote to JCE and must not be used for any other purpose or disclosed to anyone else, other than your insurers and advisers on a confidential basis. Please do not contact Council or Councillors about the RFQ (canvassing disqualifies tenderers); direct all questions to JCE. If you are not engaged, please delete or return the information on request.</w:t>
      </w:r>
    </w:p>
    <w:p>
      <w:pPr>
        <w:pStyle w:val="Heading1"/>
      </w:pPr>
      <w:r>
        <w:t>8.0   BASIS OF ENGAGEMENT</w:t>
      </w:r>
    </w:p>
    <w:p>
      <w:r>
        <w:rPr/>
        <w:t>Any engagement depends on Council awarding the contract for RFQ M2025-125 to JCE. If engaged, you will be appointed under a sub-consultant agreement with JCE that passes down the relevant terms of JCE's AS 4122:2010 contract with Council (laws of Victoria), including scope, program, insurance, confidentiality, intellectual property (all outputs and data vest in NCCMA and Council, Brief 1.11) and payment within 30 business days of JCE's claim being accepted. Provisional sum items proceed only on Council's prior written direction. JCE is not obliged to accept the lowest or any quotation, and no payment is made for preparing a quotation.</w:t>
      </w:r>
    </w:p>
    <w:p>
      <w:pPr>
        <w:keepNext/>
      </w:pPr>
      <w:r>
        <w:rPr/>
        <w:t>Please contact me on 0477 207 027 to discuss the scope.</w:t>
      </w:r>
    </w:p>
    <w:tbl>
      <w:tblPr>
        <w:tblW w:type="auto" w:w="0"/>
        <w:tblLayout w:type="fixed"/>
        <w:tblLook w:firstColumn="1" w:firstRow="1" w:lastColumn="0" w:lastRow="0" w:noHBand="0" w:noVBand="1" w:val="04A0"/>
      </w:tblPr>
      <w:tblGrid>
        <w:gridCol w:w="9354"/>
      </w:tblGrid>
      <w:tr>
        <w:trPr>
          <w:cantSplit/>
        </w:trPr>
        <w:tc>
          <w:tcPr>
            <w:tcW w:type="dxa" w:w="9354"/>
          </w:tcPr>
          <w:p>
            <w:pPr>
              <w:keepNext/>
              <w:spacing w:after="20"/>
            </w:pPr>
            <w:r/>
            <w:r>
              <w:rPr>
                <w:sz w:val="21"/>
              </w:rPr>
              <w:t>Yours faithfully,</w:t>
            </w:r>
          </w:p>
          <w:p>
            <w:pPr>
              <w:keepNext/>
              <w:spacing w:after="20"/>
            </w:pPr>
          </w:p>
          <w:p>
            <w:pPr>
              <w:keepNext/>
              <w:spacing w:after="20"/>
            </w:pPr>
            <w:r>
              <w:rPr>
                <w:sz w:val="21"/>
              </w:rPr>
              <w:t>[signature]</w:t>
            </w:r>
          </w:p>
          <w:p>
            <w:pPr>
              <w:keepNext/>
              <w:spacing w:after="20"/>
            </w:pPr>
          </w:p>
          <w:p>
            <w:pPr>
              <w:keepNext/>
              <w:spacing w:after="20"/>
            </w:pPr>
            <w:r>
              <w:rPr>
                <w:b/>
                <w:sz w:val="21"/>
              </w:rPr>
              <w:t>Jayden Callen</w:t>
            </w:r>
          </w:p>
          <w:p>
            <w:pPr>
              <w:keepNext/>
              <w:spacing w:after="20"/>
            </w:pPr>
            <w:r>
              <w:rPr>
                <w:sz w:val="21"/>
              </w:rPr>
              <w:t>Director, JCE Infrastructure Pty Ltd</w:t>
            </w:r>
          </w:p>
          <w:p>
            <w:pPr>
              <w:keepNext/>
              <w:spacing w:after="20"/>
            </w:pPr>
            <w:r>
              <w:rPr>
                <w:sz w:val="21"/>
              </w:rPr>
              <w:t>0477 207 027  |  jayden@jceinfrastructure.com.au</w:t>
            </w:r>
          </w:p>
          <w:p>
            <w:pPr>
              <w:keepNext/>
              <w:spacing w:after="20"/>
            </w:pPr>
            <w:r>
              <w:rPr>
                <w:sz w:val="21"/>
              </w:rPr>
              <w:t>Date: [dd/10/2026]</w:t>
            </w:r>
          </w:p>
        </w:tc>
      </w:tr>
    </w:tbl>
    <w:p>
      <w:pPr>
        <w:pStyle w:val="Heading1"/>
      </w:pPr>
      <w:r>
        <w:t>ATTACHMENTS</w:t>
      </w:r>
    </w:p>
    <w:p>
      <w:pPr>
        <w:pStyle w:val="ListBullet"/>
        <w:spacing w:after="60"/>
      </w:pPr>
      <w:r>
        <w:rPr/>
        <w:t>Attachment_1-Project_Brief_and_General_Specification.pdf (Council's Project Brief, in full)</w:t>
      </w:r>
    </w:p>
    <w:sectPr w:rsidR="00FC693F" w:rsidRPr="0006063C" w:rsidSect="00034616">
      <w:headerReference w:type="default" r:id="rId9"/>
      <w:footerReference w:type="default" r:id="rId10"/>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JCE Infrastructure Pty Ltd  |  ABN 29 699 165 663  |  jceinfrastructure.com.au  |  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JCE-RFQ-VP527574-GT Rev C  |  Geotechnical investigation and design advice (provisional sum)  |  Newstead Levee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C9A22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