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36"/>
        </w:rPr>
        <w:t>JCE Infrastructure Pty Ltd</w:t>
      </w:r>
    </w:p>
    <w:p>
      <w:pPr>
        <w:spacing w:after="200"/>
        <w:pBdr>
          <w:bottom w:val="single" w:sz="12" w:space="1" w:color="C9A227"/>
        </w:pBdr>
      </w:pPr>
      <w:r>
        <w:rPr>
          <w:color w:val="404040"/>
          <w:sz w:val="18"/>
        </w:rPr>
        <w:t>ABN 29 699 165 663  |  0477 207 027  |  jayden@jceinfrastructure.com.au  |  jceinfrastructure.com.au</w:t>
      </w:r>
    </w:p>
    <w:p>
      <w:r>
        <w:rPr>
          <w:color w:val="404040"/>
          <w:sz w:val="18"/>
        </w:rPr>
        <w:t>Request for quotation JCE-RFQ-VP527574-SV Rev C (FINAL)  |  Date: 12/10/2026  |  To: invited sub-consultant (named in the covering email)</w:t>
      </w:r>
    </w:p>
    <w:p>
      <w:r>
        <w:rPr>
          <w:b/>
        </w:rPr>
        <w:t>Request for quotation: Supplementary survey and survey day rate</w:t>
      </w:r>
    </w:p>
    <w:p>
      <w:r>
        <w:rPr>
          <w:b/>
        </w:rPr>
        <w:t>Newstead Levee Design 26/27, Mount Alexander Shire Council RFQ M2025-125</w:t>
      </w:r>
    </w:p>
    <w:p>
      <w:r>
        <w:rPr/>
        <w:t xml:space="preserve">JCE Infrastructure Pty Ltd (JCE) invites you to quote for the work below as a sub-consultant to JCE. </w:t>
      </w:r>
      <w:r>
        <w:rPr>
          <w:b/>
        </w:rPr>
        <w:t>Quotations are due by Friday 16/10/2026, 12:00 pm (AEDT).</w:t>
      </w:r>
    </w:p>
    <w:p>
      <w:pPr>
        <w:pStyle w:val="Heading1"/>
      </w:pPr>
      <w:r>
        <w:t>1.0   PROJECT AND TENDER</w:t>
      </w:r>
    </w:p>
    <w:p>
      <w:r>
        <w:rPr/>
        <w:t xml:space="preserve">Mount Alexander Shire Council has invited quotations under </w:t>
      </w:r>
      <w:r>
        <w:rPr>
          <w:b/>
        </w:rPr>
        <w:t>RFQ M2025-125</w:t>
      </w:r>
      <w:r>
        <w:rPr/>
        <w:t xml:space="preserve"> (VendorPanel VP527574) for the detailed design, approvals support, documentation and construction tender package for the Newstead levee. The tender closes at 2:00 pm (AEDT) on Friday 23/10/2026. It is a fixed-price lump sum under AS 4122:2010, and the final package is due on Friday 26/02/2027.</w:t>
      </w:r>
    </w:p>
    <w:p>
      <w:r>
        <w:rPr>
          <w:b/>
        </w:rPr>
        <w:t>The levee.</w:t>
      </w:r>
      <w:r>
        <w:rPr/>
        <w:t xml:space="preserve"> The 1920s earthen levee on the east bank of the Loddon River at Newstead is about 1.5 km long. A 2017 risk assessment found it vulnerable to overtopping, slumping, piping and foundation seepage, with the southern section at extreme risk in a 1% AEP event. In May 2026 Council approved Mitigation Option 6b (raised, extended and realigned levee, Brief Appendix 2), based on Water Technology's Newstead Flood Study (RORB and TUFLOW models). Option 6b extends the northern end along Mia Mia Creek and realigns the southern end. The study reports flood level increases of up to 400 mm west of the river and a large fill volume, which the design must reduce.</w:t>
      </w:r>
    </w:p>
    <w:p>
      <w:r>
        <w:rPr>
          <w:b/>
        </w:rPr>
        <w:t>Budget and JCE's approach.</w:t>
      </w:r>
      <w:r>
        <w:rPr/>
        <w:t xml:space="preserve"> Council's indicative budget is $125,000 including GST for the whole commission (Brief 1.8). JCE is therefore quoting a lean main offer built on the existing TUFLOW model and NCCMA LiDAR, with investigations as provisional sums that proceed only on Council's written direction, and a fuller scope as an alternative. Please price the main items and the options separately, as set out in Section 6.0.</w:t>
      </w:r>
    </w:p>
    <w:p>
      <w:r>
        <w:rPr>
          <w:b/>
        </w:rPr>
        <w:t>Hold points (Brief 1.5):</w:t>
      </w:r>
      <w:r>
        <w:rPr/>
        <w:t xml:space="preserve"> HP1 program and information gap register; HP2 Design Basis Memorandum; HP3 concept alignment and hydraulic impact review; HP4 50% design; HP5 80% design; HP6 final design and Issued for Tender package with design certification.</w:t>
      </w:r>
    </w:p>
    <w:p>
      <w:r>
        <w:rPr>
          <w:b/>
        </w:rPr>
        <w:t>JCE's role.</w:t>
      </w:r>
      <w:r>
        <w:rPr/>
        <w:t xml:space="preserve"> JCE Infrastructure is tendering as lead consultant (project management, civil and hydraulic design, specification, quantities and estimate). You would be engaged as a sub-consultant to JCE.</w:t>
      </w:r>
    </w:p>
    <w:p>
      <w:pPr>
        <w:pStyle w:val="Heading1"/>
      </w:pPr>
      <w:r>
        <w:t>2.0   SCOPE OF SERVICES</w:t>
      </w:r>
    </w:p>
    <w:p>
      <w:pPr>
        <w:keepNext/>
      </w:pPr>
      <w:r>
        <w:rPr/>
        <w:t>JCE's main offer uses NCCMA LiDAR for the wider area and a targeted survey of the levee. Please price:</w:t>
      </w:r>
    </w:p>
    <w:p>
      <w:pPr>
        <w:pStyle w:val="ListBullet"/>
        <w:spacing w:after="60"/>
      </w:pPr>
      <w:r>
        <w:rPr>
          <w:b/>
        </w:rPr>
        <w:t>V1 (Main) Control and levee survey:</w:t>
      </w:r>
      <w:r>
        <w:rPr/>
        <w:t xml:space="preserve"> control on MGA2020 and AHD tied to State survey marks, with marks suitable for set-out; levee crest long section and toes along the existing levee (about 1.5 km) and the Option 6b extension and realigned sections (about 2.0 km in total); cross-sections at about 50 m and at grade changes; outlets, floodgates, pipes and headwalls (inverts and dimensions); road crossings.</w:t>
      </w:r>
    </w:p>
    <w:p>
      <w:pPr>
        <w:pStyle w:val="ListBullet"/>
        <w:spacing w:after="60"/>
      </w:pPr>
      <w:r>
        <w:rPr>
          <w:b/>
        </w:rPr>
        <w:t>V2 (Main) Floor levels</w:t>
      </w:r>
      <w:r>
        <w:rPr/>
        <w:t xml:space="preserve"> of up to 20 dwellings or buildings where the design changes flood levels, with a rate per additional property.</w:t>
      </w:r>
    </w:p>
    <w:p>
      <w:pPr>
        <w:pStyle w:val="ListBullet"/>
        <w:spacing w:after="60"/>
      </w:pPr>
      <w:r>
        <w:rPr>
          <w:b/>
        </w:rPr>
        <w:t>V3 (Main) LiDAR check:</w:t>
      </w:r>
      <w:r>
        <w:rPr/>
        <w:t xml:space="preserve"> comparison of the survey with NCCMA LiDAR to confirm its use elsewhere.</w:t>
      </w:r>
    </w:p>
    <w:p>
      <w:pPr>
        <w:pStyle w:val="ListBullet"/>
        <w:spacing w:after="60"/>
      </w:pPr>
      <w:r>
        <w:rPr>
          <w:b/>
        </w:rPr>
        <w:t>V4 (Main) Day rate</w:t>
      </w:r>
      <w:r>
        <w:rPr/>
        <w:t xml:space="preserve"> for additional ground survey for information gap works (field crew, equipment and data preparation). This rate goes into Council's Schedule C item 2.1.</w:t>
      </w:r>
    </w:p>
    <w:p>
      <w:pPr>
        <w:pStyle w:val="ListBullet"/>
        <w:spacing w:after="60"/>
      </w:pPr>
      <w:r>
        <w:rPr>
          <w:b/>
        </w:rPr>
        <w:t>V5 (Alternative A) Full corridor feature survey</w:t>
      </w:r>
      <w:r>
        <w:rPr/>
        <w:t xml:space="preserve"> about 40 m wide (fences, trees, buildings, visible services, river bank top), and up to 50 floor levels in total.</w:t>
      </w:r>
    </w:p>
    <w:p>
      <w:pPr>
        <w:pStyle w:val="ListBullet"/>
        <w:spacing w:after="60"/>
      </w:pPr>
      <w:r>
        <w:rPr>
          <w:b/>
        </w:rPr>
        <w:t>V6 (Alternative A) Cadastral boundary re-establishment</w:t>
      </w:r>
      <w:r>
        <w:rPr/>
        <w:t xml:space="preserve"> where the alignment adjoins private land and road reserves, with title and easement searches.</w:t>
      </w:r>
    </w:p>
    <w:p>
      <w:pPr>
        <w:pStyle w:val="Heading1"/>
      </w:pPr>
      <w:r>
        <w:t>3.0   DELIVERABLES</w:t>
      </w:r>
    </w:p>
    <w:p>
      <w:pPr>
        <w:pStyle w:val="ListBullet"/>
        <w:spacing w:after="60"/>
      </w:pPr>
      <w:r>
        <w:rPr/>
        <w:t>3D survey in DWG and 12da or LandXML with TIN, points (CSV) and PDF plan</w:t>
      </w:r>
    </w:p>
    <w:p>
      <w:pPr>
        <w:pStyle w:val="ListBullet"/>
        <w:spacing w:after="60"/>
      </w:pPr>
      <w:r>
        <w:rPr/>
        <w:t>Survey report: control, datum, methods, accuracy</w:t>
      </w:r>
    </w:p>
    <w:p>
      <w:pPr>
        <w:pStyle w:val="ListBullet"/>
        <w:spacing w:after="60"/>
      </w:pPr>
      <w:r>
        <w:rPr/>
        <w:t>Floor level schedule (CSV, PDF) with photos</w:t>
      </w:r>
    </w:p>
    <w:p>
      <w:pPr>
        <w:pStyle w:val="Heading1"/>
      </w:pPr>
      <w:r>
        <w:t>4.0   PROGRAM</w:t>
      </w:r>
    </w:p>
    <w:tbl>
      <w:tblPr>
        <w:tblW w:type="dxa" w:w="9355"/>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3685"/>
        <w:gridCol w:w="5670"/>
      </w:tblGrid>
      <w:tr>
        <w:trPr>
          <w:tblHeader/>
          <w:cantSplit/>
        </w:trPr>
        <w:tc>
          <w:tcPr>
            <w:tcW w:type="dxa" w:w="3685"/>
            <w:shd w:val="clear" w:color="auto" w:fill="000000"/>
          </w:tcPr>
          <w:p>
            <w:r/>
            <w:r>
              <w:rPr>
                <w:b/>
                <w:color w:val="FFFFFF"/>
                <w:sz w:val="19"/>
              </w:rPr>
              <w:t>Item</w:t>
            </w:r>
          </w:p>
        </w:tc>
        <w:tc>
          <w:tcPr>
            <w:tcW w:type="dxa" w:w="5669"/>
            <w:shd w:val="clear" w:color="auto" w:fill="000000"/>
          </w:tcPr>
          <w:p>
            <w:r/>
            <w:r>
              <w:rPr>
                <w:b/>
                <w:color w:val="FFFFFF"/>
                <w:sz w:val="19"/>
              </w:rPr>
              <w:t>Date</w:t>
            </w:r>
          </w:p>
        </w:tc>
      </w:tr>
      <w:tr>
        <w:trPr>
          <w:cantSplit/>
        </w:trPr>
        <w:tc>
          <w:tcPr>
            <w:tcW w:type="dxa" w:w="3685"/>
          </w:tcPr>
          <w:p>
            <w:pPr>
              <w:spacing w:after="20"/>
            </w:pPr>
            <w:r/>
            <w:r>
              <w:rPr>
                <w:sz w:val="19"/>
              </w:rPr>
              <w:t>RFQ issued</w:t>
            </w:r>
          </w:p>
        </w:tc>
        <w:tc>
          <w:tcPr>
            <w:tcW w:type="dxa" w:w="5669"/>
          </w:tcPr>
          <w:p>
            <w:pPr>
              <w:spacing w:after="20"/>
            </w:pPr>
            <w:r/>
            <w:r>
              <w:rPr>
                <w:sz w:val="19"/>
              </w:rPr>
              <w:t>Monday 12/10/2026</w:t>
            </w:r>
          </w:p>
        </w:tc>
      </w:tr>
      <w:tr>
        <w:trPr>
          <w:cantSplit/>
        </w:trPr>
        <w:tc>
          <w:tcPr>
            <w:tcW w:type="dxa" w:w="3685"/>
            <w:shd w:val="clear" w:color="auto" w:fill="F7F1DE"/>
          </w:tcPr>
          <w:p>
            <w:pPr>
              <w:spacing w:after="20"/>
            </w:pPr>
            <w:r/>
            <w:r>
              <w:rPr>
                <w:sz w:val="19"/>
              </w:rPr>
              <w:t>Questions to JCE</w:t>
            </w:r>
          </w:p>
        </w:tc>
        <w:tc>
          <w:tcPr>
            <w:tcW w:type="dxa" w:w="5669"/>
            <w:shd w:val="clear" w:color="auto" w:fill="F7F1DE"/>
          </w:tcPr>
          <w:p>
            <w:pPr>
              <w:spacing w:after="20"/>
            </w:pPr>
            <w:r/>
            <w:r>
              <w:rPr>
                <w:sz w:val="19"/>
              </w:rPr>
              <w:t>By 5:00 pm Wednesday 14/10/2026</w:t>
            </w:r>
          </w:p>
        </w:tc>
      </w:tr>
      <w:tr>
        <w:trPr>
          <w:cantSplit/>
        </w:trPr>
        <w:tc>
          <w:tcPr>
            <w:tcW w:type="dxa" w:w="3685"/>
          </w:tcPr>
          <w:p>
            <w:pPr>
              <w:spacing w:after="20"/>
            </w:pPr>
            <w:r/>
            <w:r>
              <w:rPr>
                <w:b/>
                <w:sz w:val="19"/>
              </w:rPr>
              <w:t>Quotation due</w:t>
            </w:r>
          </w:p>
        </w:tc>
        <w:tc>
          <w:tcPr>
            <w:tcW w:type="dxa" w:w="5669"/>
          </w:tcPr>
          <w:p>
            <w:pPr>
              <w:spacing w:after="20"/>
            </w:pPr>
            <w:r/>
            <w:r>
              <w:rPr>
                <w:b/>
                <w:sz w:val="19"/>
              </w:rPr>
              <w:t>Friday 16/10/2026, 12:00 pm (AEDT)</w:t>
            </w:r>
            <w:r>
              <w:rPr>
                <w:sz w:val="19"/>
              </w:rPr>
              <w:t>, by email to jayden@jceinfrastructure.com.au</w:t>
            </w:r>
          </w:p>
        </w:tc>
      </w:tr>
      <w:tr>
        <w:trPr>
          <w:cantSplit/>
        </w:trPr>
        <w:tc>
          <w:tcPr>
            <w:tcW w:type="dxa" w:w="3685"/>
            <w:shd w:val="clear" w:color="auto" w:fill="F7F1DE"/>
          </w:tcPr>
          <w:p>
            <w:pPr>
              <w:spacing w:after="20"/>
            </w:pPr>
            <w:r/>
            <w:r>
              <w:rPr>
                <w:sz w:val="19"/>
              </w:rPr>
              <w:t>Council's tender closes</w:t>
            </w:r>
          </w:p>
        </w:tc>
        <w:tc>
          <w:tcPr>
            <w:tcW w:type="dxa" w:w="5669"/>
            <w:shd w:val="clear" w:color="auto" w:fill="F7F1DE"/>
          </w:tcPr>
          <w:p>
            <w:pPr>
              <w:spacing w:after="20"/>
            </w:pPr>
            <w:r/>
            <w:r>
              <w:rPr>
                <w:sz w:val="19"/>
              </w:rPr>
              <w:t>Friday 23/10/2026, 2:00 pm (AEDT)</w:t>
            </w:r>
          </w:p>
        </w:tc>
      </w:tr>
      <w:tr>
        <w:trPr>
          <w:cantSplit/>
        </w:trPr>
        <w:tc>
          <w:tcPr>
            <w:tcW w:type="dxa" w:w="3685"/>
          </w:tcPr>
          <w:p>
            <w:pPr>
              <w:spacing w:after="20"/>
            </w:pPr>
            <w:r/>
            <w:r>
              <w:rPr>
                <w:sz w:val="19"/>
              </w:rPr>
              <w:t>Council award (expected)</w:t>
            </w:r>
          </w:p>
        </w:tc>
        <w:tc>
          <w:tcPr>
            <w:tcW w:type="dxa" w:w="5669"/>
          </w:tcPr>
          <w:p>
            <w:pPr>
              <w:spacing w:after="20"/>
            </w:pPr>
            <w:r/>
            <w:r>
              <w:rPr>
                <w:sz w:val="19"/>
              </w:rPr>
              <w:t>Friday 06/11/2026</w:t>
            </w:r>
          </w:p>
        </w:tc>
      </w:tr>
      <w:tr>
        <w:trPr>
          <w:cantSplit/>
        </w:trPr>
        <w:tc>
          <w:tcPr>
            <w:tcW w:type="dxa" w:w="3685"/>
            <w:shd w:val="clear" w:color="auto" w:fill="F7F1DE"/>
          </w:tcPr>
          <w:p>
            <w:pPr>
              <w:spacing w:after="20"/>
            </w:pPr>
            <w:r/>
            <w:r>
              <w:rPr>
                <w:sz w:val="19"/>
              </w:rPr>
              <w:t>Inception meeting and site inspection</w:t>
            </w:r>
          </w:p>
        </w:tc>
        <w:tc>
          <w:tcPr>
            <w:tcW w:type="dxa" w:w="5669"/>
            <w:shd w:val="clear" w:color="auto" w:fill="F7F1DE"/>
          </w:tcPr>
          <w:p>
            <w:pPr>
              <w:spacing w:after="20"/>
            </w:pPr>
            <w:r/>
            <w:r>
              <w:rPr>
                <w:sz w:val="19"/>
              </w:rPr>
              <w:t>Wednesday 18/11/2026</w:t>
            </w:r>
          </w:p>
        </w:tc>
      </w:tr>
      <w:tr>
        <w:trPr>
          <w:cantSplit/>
        </w:trPr>
        <w:tc>
          <w:tcPr>
            <w:tcW w:type="dxa" w:w="3685"/>
          </w:tcPr>
          <w:p>
            <w:pPr>
              <w:spacing w:after="20"/>
            </w:pPr>
            <w:r/>
            <w:r>
              <w:rPr>
                <w:sz w:val="19"/>
              </w:rPr>
              <w:t>HP1</w:t>
            </w:r>
          </w:p>
        </w:tc>
        <w:tc>
          <w:tcPr>
            <w:tcW w:type="dxa" w:w="5669"/>
          </w:tcPr>
          <w:p>
            <w:pPr>
              <w:spacing w:after="20"/>
            </w:pPr>
            <w:r/>
            <w:r>
              <w:rPr>
                <w:sz w:val="19"/>
              </w:rPr>
              <w:t>Friday 20/11/2026</w:t>
            </w:r>
          </w:p>
        </w:tc>
      </w:tr>
      <w:tr>
        <w:trPr>
          <w:cantSplit/>
        </w:trPr>
        <w:tc>
          <w:tcPr>
            <w:tcW w:type="dxa" w:w="3685"/>
            <w:shd w:val="clear" w:color="auto" w:fill="F7F1DE"/>
          </w:tcPr>
          <w:p>
            <w:pPr>
              <w:spacing w:after="20"/>
            </w:pPr>
            <w:r/>
            <w:r>
              <w:rPr>
                <w:sz w:val="19"/>
              </w:rPr>
              <w:t>HP2 Design Basis Memorandum</w:t>
            </w:r>
          </w:p>
        </w:tc>
        <w:tc>
          <w:tcPr>
            <w:tcW w:type="dxa" w:w="5669"/>
            <w:shd w:val="clear" w:color="auto" w:fill="F7F1DE"/>
          </w:tcPr>
          <w:p>
            <w:pPr>
              <w:spacing w:after="20"/>
            </w:pPr>
            <w:r/>
            <w:r>
              <w:rPr>
                <w:sz w:val="19"/>
              </w:rPr>
              <w:t>Friday 04/12/2026</w:t>
            </w:r>
          </w:p>
        </w:tc>
      </w:tr>
      <w:tr>
        <w:trPr>
          <w:cantSplit/>
        </w:trPr>
        <w:tc>
          <w:tcPr>
            <w:tcW w:type="dxa" w:w="3685"/>
          </w:tcPr>
          <w:p>
            <w:pPr>
              <w:spacing w:after="20"/>
            </w:pPr>
            <w:r/>
            <w:r>
              <w:rPr>
                <w:sz w:val="19"/>
              </w:rPr>
              <w:t>Christmas shutdown</w:t>
            </w:r>
          </w:p>
        </w:tc>
        <w:tc>
          <w:tcPr>
            <w:tcW w:type="dxa" w:w="5669"/>
          </w:tcPr>
          <w:p>
            <w:pPr>
              <w:spacing w:after="20"/>
            </w:pPr>
            <w:r/>
            <w:r>
              <w:rPr>
                <w:sz w:val="19"/>
              </w:rPr>
              <w:t>21/12/2026 to 05/01/2027</w:t>
            </w:r>
          </w:p>
        </w:tc>
      </w:tr>
      <w:tr>
        <w:trPr>
          <w:cantSplit/>
        </w:trPr>
        <w:tc>
          <w:tcPr>
            <w:tcW w:type="dxa" w:w="3685"/>
            <w:shd w:val="clear" w:color="auto" w:fill="F7F1DE"/>
          </w:tcPr>
          <w:p>
            <w:pPr>
              <w:spacing w:after="20"/>
            </w:pPr>
            <w:r/>
            <w:r>
              <w:rPr>
                <w:sz w:val="19"/>
              </w:rPr>
              <w:t>HP3 concept and hydraulic impact review</w:t>
            </w:r>
          </w:p>
        </w:tc>
        <w:tc>
          <w:tcPr>
            <w:tcW w:type="dxa" w:w="5669"/>
            <w:shd w:val="clear" w:color="auto" w:fill="F7F1DE"/>
          </w:tcPr>
          <w:p>
            <w:pPr>
              <w:spacing w:after="20"/>
            </w:pPr>
            <w:r/>
            <w:r>
              <w:rPr>
                <w:sz w:val="19"/>
              </w:rPr>
              <w:t>Wednesday 13/01/2027</w:t>
            </w:r>
          </w:p>
        </w:tc>
      </w:tr>
      <w:tr>
        <w:trPr>
          <w:cantSplit/>
        </w:trPr>
        <w:tc>
          <w:tcPr>
            <w:tcW w:type="dxa" w:w="3685"/>
          </w:tcPr>
          <w:p>
            <w:pPr>
              <w:spacing w:after="20"/>
            </w:pPr>
            <w:r/>
            <w:r>
              <w:rPr>
                <w:sz w:val="19"/>
              </w:rPr>
              <w:t>HP4 50% design</w:t>
            </w:r>
          </w:p>
        </w:tc>
        <w:tc>
          <w:tcPr>
            <w:tcW w:type="dxa" w:w="5669"/>
          </w:tcPr>
          <w:p>
            <w:pPr>
              <w:spacing w:after="20"/>
            </w:pPr>
            <w:r/>
            <w:r>
              <w:rPr>
                <w:sz w:val="19"/>
              </w:rPr>
              <w:t>Friday 29/01/2027</w:t>
            </w:r>
          </w:p>
        </w:tc>
      </w:tr>
      <w:tr>
        <w:trPr>
          <w:cantSplit/>
        </w:trPr>
        <w:tc>
          <w:tcPr>
            <w:tcW w:type="dxa" w:w="3685"/>
            <w:shd w:val="clear" w:color="auto" w:fill="F7F1DE"/>
          </w:tcPr>
          <w:p>
            <w:pPr>
              <w:spacing w:after="20"/>
            </w:pPr>
            <w:r/>
            <w:r>
              <w:rPr>
                <w:sz w:val="19"/>
              </w:rPr>
              <w:t>HP5 80% design</w:t>
            </w:r>
          </w:p>
        </w:tc>
        <w:tc>
          <w:tcPr>
            <w:tcW w:type="dxa" w:w="5669"/>
            <w:shd w:val="clear" w:color="auto" w:fill="F7F1DE"/>
          </w:tcPr>
          <w:p>
            <w:pPr>
              <w:spacing w:after="20"/>
            </w:pPr>
            <w:r/>
            <w:r>
              <w:rPr>
                <w:sz w:val="19"/>
              </w:rPr>
              <w:t>Friday 12/02/2027</w:t>
            </w:r>
          </w:p>
        </w:tc>
      </w:tr>
      <w:tr>
        <w:trPr>
          <w:cantSplit/>
        </w:trPr>
        <w:tc>
          <w:tcPr>
            <w:tcW w:type="dxa" w:w="3685"/>
          </w:tcPr>
          <w:p>
            <w:pPr>
              <w:spacing w:after="20"/>
            </w:pPr>
            <w:r/>
            <w:r>
              <w:rPr>
                <w:b/>
                <w:sz w:val="19"/>
              </w:rPr>
              <w:t>HP6 final design and Issued for Tender package</w:t>
            </w:r>
          </w:p>
        </w:tc>
        <w:tc>
          <w:tcPr>
            <w:tcW w:type="dxa" w:w="5669"/>
          </w:tcPr>
          <w:p>
            <w:pPr>
              <w:spacing w:after="20"/>
            </w:pPr>
            <w:r/>
            <w:r>
              <w:rPr>
                <w:b/>
                <w:sz w:val="19"/>
              </w:rPr>
              <w:t>Friday 26/02/2027 (fixed by Council)</w:t>
            </w:r>
          </w:p>
        </w:tc>
      </w:tr>
      <w:tr>
        <w:trPr>
          <w:cantSplit/>
        </w:trPr>
        <w:tc>
          <w:tcPr>
            <w:tcW w:type="dxa" w:w="3685"/>
            <w:shd w:val="clear" w:color="auto" w:fill="F7F1DE"/>
          </w:tcPr>
          <w:p>
            <w:pPr>
              <w:spacing w:after="20"/>
            </w:pPr>
            <w:r/>
            <w:r>
              <w:rPr>
                <w:sz w:val="19"/>
              </w:rPr>
              <w:t>Fieldwork</w:t>
            </w:r>
          </w:p>
        </w:tc>
        <w:tc>
          <w:tcPr>
            <w:tcW w:type="dxa" w:w="5669"/>
            <w:shd w:val="clear" w:color="auto" w:fill="F7F1DE"/>
          </w:tcPr>
          <w:p>
            <w:pPr>
              <w:spacing w:after="20"/>
            </w:pPr>
            <w:r/>
            <w:r>
              <w:rPr>
                <w:sz w:val="19"/>
              </w:rPr>
              <w:t>23/11/2026 to 04/12/2026, including 3 working days for weather and subject to access</w:t>
            </w:r>
          </w:p>
        </w:tc>
      </w:tr>
      <w:tr>
        <w:trPr>
          <w:cantSplit/>
        </w:trPr>
        <w:tc>
          <w:tcPr>
            <w:tcW w:type="dxa" w:w="3685"/>
          </w:tcPr>
          <w:p>
            <w:pPr>
              <w:spacing w:after="20"/>
            </w:pPr>
            <w:r/>
            <w:r>
              <w:rPr>
                <w:sz w:val="19"/>
              </w:rPr>
              <w:t>Data delivered</w:t>
            </w:r>
          </w:p>
        </w:tc>
        <w:tc>
          <w:tcPr>
            <w:tcW w:type="dxa" w:w="5669"/>
          </w:tcPr>
          <w:p>
            <w:pPr>
              <w:spacing w:after="20"/>
            </w:pPr>
            <w:r/>
            <w:r>
              <w:rPr>
                <w:sz w:val="19"/>
              </w:rPr>
              <w:t>Friday 11/12/2026</w:t>
            </w:r>
          </w:p>
        </w:tc>
      </w:tr>
    </w:tbl>
    <w:p>
      <w:pPr>
        <w:spacing w:after="40"/>
      </w:pPr>
    </w:p>
    <w:p>
      <w:pPr>
        <w:pStyle w:val="Heading1"/>
      </w:pPr>
      <w:r>
        <w:t>5.0   REQUIREMENTS</w:t>
      </w:r>
    </w:p>
    <w:p>
      <w:r>
        <w:rPr>
          <w:b/>
        </w:rPr>
        <w:t>Registration.</w:t>
      </w:r>
      <w:r>
        <w:rPr/>
        <w:t xml:space="preserve"> Cadastral work (V6) by, or under the supervision of, a Licensed Surveyor registered with the Surveyors Registration Board of Victoria.</w:t>
      </w:r>
    </w:p>
    <w:p>
      <w:pPr>
        <w:keepNext/>
      </w:pPr>
      <w:r>
        <w:rPr>
          <w:b/>
        </w:rPr>
        <w:t>Insurance (as Council requires of JCE: Brief 1.13, Annexure Part A Items 25 to 27).</w:t>
      </w:r>
      <w:r>
        <w:rPr/>
        <w:t xml:space="preserve"> Please confirm you hold, and will maintain for the engagement:</w:t>
      </w:r>
    </w:p>
    <w:p>
      <w:pPr>
        <w:pStyle w:val="ListBullet"/>
        <w:spacing w:after="60"/>
      </w:pPr>
      <w:r>
        <w:rPr/>
        <w:t>public liability of not less than $20 million;</w:t>
      </w:r>
    </w:p>
    <w:p>
      <w:pPr>
        <w:pStyle w:val="ListBullet"/>
        <w:spacing w:after="60"/>
      </w:pPr>
      <w:r>
        <w:rPr/>
        <w:t>professional indemnity of not less than $5 million, maintained for five years after completion of the services;</w:t>
      </w:r>
    </w:p>
    <w:p>
      <w:pPr>
        <w:pStyle w:val="ListBullet"/>
        <w:spacing w:after="60"/>
      </w:pPr>
      <w:r>
        <w:rPr/>
        <w:t>workers compensation (WorkSafe Victoria or equivalent) covering all workers.</w:t>
      </w:r>
    </w:p>
    <w:p>
      <w:r>
        <w:rPr/>
        <w:t>Please attach certificates of currency. If your cover differs, state the levels you hold so JCE can raise them with Council. Council's contract states no limit on the consultant's liability.</w:t>
      </w:r>
    </w:p>
    <w:p>
      <w:r>
        <w:rPr>
          <w:b/>
        </w:rPr>
        <w:t>Work health and safety.</w:t>
      </w:r>
      <w:r>
        <w:rPr/>
        <w:t xml:space="preserve"> Compliance with the Occupational Health and Safety Act 2004 (Vic) and OHS Regulations 2017, Council's online contractor induction, and a site-specific risk assessment or SWMS for any fieldwork (work near water, traffic, underground services and private land). JCE's Subconsultant and Contractor WHS Management Procedure (JCE-WHS-PRO-009) applies.</w:t>
      </w:r>
    </w:p>
    <w:p>
      <w:r>
        <w:rPr>
          <w:b/>
        </w:rPr>
        <w:t>Independence and conflict of interest.</w:t>
      </w:r>
      <w:r>
        <w:rPr/>
        <w:t xml:space="preserve"> Please declare any actual or perceived conflict, including any current engagement with Council or NCCMA on this project, any role in the Newstead Flood Study, any relationship with landowners along the alignment, and whether you are quoting to or tendering with another party for RFQ M2025-125. You may quote to others, but please tell us, and keep JCE's information separate.</w:t>
      </w:r>
    </w:p>
    <w:p>
      <w:r>
        <w:rPr>
          <w:b/>
        </w:rPr>
        <w:t>Quality and personnel.</w:t>
      </w:r>
      <w:r>
        <w:rPr/>
        <w:t xml:space="preserve"> Internal checking of all deliverables before issue to JCE; nominate key personnel with short CVs and confirm availability for the program in Section 4.0.</w:t>
      </w:r>
    </w:p>
    <w:p>
      <w:pPr>
        <w:pStyle w:val="Heading1"/>
      </w:pPr>
      <w:r>
        <w:t>6.0   PRICING SCHEDULE</w:t>
      </w:r>
    </w:p>
    <w:p>
      <w:pPr>
        <w:keepNext/>
      </w:pPr>
      <w:r>
        <w:rPr/>
        <w:t>Please complete in AUD, excluding GST. Items marked Main are in JCE's main offer; items marked Option or Alternative A are priced separately and may not be engaged.</w:t>
      </w:r>
    </w:p>
    <w:tbl>
      <w:tblPr>
        <w:tblW w:type="dxa" w:w="9355"/>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793"/>
        <w:gridCol w:w="5670"/>
        <w:gridCol w:w="1360"/>
        <w:gridCol w:w="1530"/>
      </w:tblGrid>
      <w:tr>
        <w:trPr>
          <w:tblHeader/>
          <w:cantSplit/>
        </w:trPr>
        <w:tc>
          <w:tcPr>
            <w:tcW w:type="dxa" w:w="794"/>
            <w:shd w:val="clear" w:color="auto" w:fill="000000"/>
          </w:tcPr>
          <w:p>
            <w:pPr>
              <w:keepNext/>
            </w:pPr>
            <w:r/>
            <w:r>
              <w:rPr>
                <w:b/>
                <w:color w:val="FFFFFF"/>
                <w:sz w:val="19"/>
              </w:rPr>
              <w:t>Item</w:t>
            </w:r>
          </w:p>
        </w:tc>
        <w:tc>
          <w:tcPr>
            <w:tcW w:type="dxa" w:w="5669"/>
            <w:shd w:val="clear" w:color="auto" w:fill="000000"/>
          </w:tcPr>
          <w:p>
            <w:pPr>
              <w:keepNext/>
            </w:pPr>
            <w:r/>
            <w:r>
              <w:rPr>
                <w:b/>
                <w:color w:val="FFFFFF"/>
                <w:sz w:val="19"/>
              </w:rPr>
              <w:t>Description</w:t>
            </w:r>
          </w:p>
        </w:tc>
        <w:tc>
          <w:tcPr>
            <w:tcW w:type="dxa" w:w="1361"/>
            <w:shd w:val="clear" w:color="auto" w:fill="000000"/>
          </w:tcPr>
          <w:p>
            <w:pPr>
              <w:keepNext/>
            </w:pPr>
            <w:r/>
            <w:r>
              <w:rPr>
                <w:b/>
                <w:color w:val="FFFFFF"/>
                <w:sz w:val="19"/>
              </w:rPr>
              <w:t>Basis</w:t>
            </w:r>
          </w:p>
        </w:tc>
        <w:tc>
          <w:tcPr>
            <w:tcW w:type="dxa" w:w="1531"/>
            <w:shd w:val="clear" w:color="auto" w:fill="000000"/>
          </w:tcPr>
          <w:p>
            <w:pPr>
              <w:keepNext/>
            </w:pPr>
            <w:r/>
            <w:r>
              <w:rPr>
                <w:b/>
                <w:color w:val="FFFFFF"/>
                <w:sz w:val="19"/>
              </w:rPr>
              <w:t>Price (excl. GST)</w:t>
            </w:r>
          </w:p>
        </w:tc>
      </w:tr>
      <w:tr>
        <w:trPr>
          <w:cantSplit/>
        </w:trPr>
        <w:tc>
          <w:tcPr>
            <w:tcW w:type="dxa" w:w="794"/>
          </w:tcPr>
          <w:p>
            <w:pPr>
              <w:keepNext/>
              <w:spacing w:after="20"/>
            </w:pPr>
            <w:r/>
            <w:r>
              <w:rPr>
                <w:sz w:val="19"/>
              </w:rPr>
              <w:t>V1</w:t>
            </w:r>
          </w:p>
        </w:tc>
        <w:tc>
          <w:tcPr>
            <w:tcW w:type="dxa" w:w="5669"/>
          </w:tcPr>
          <w:p>
            <w:pPr>
              <w:keepNext/>
              <w:spacing w:after="20"/>
            </w:pPr>
            <w:r/>
            <w:r>
              <w:rPr>
                <w:sz w:val="19"/>
              </w:rPr>
              <w:t>Control and levee survey</w:t>
            </w:r>
          </w:p>
        </w:tc>
        <w:tc>
          <w:tcPr>
            <w:tcW w:type="dxa" w:w="1361"/>
          </w:tcPr>
          <w:p>
            <w:pPr>
              <w:keepNext/>
              <w:spacing w:after="20"/>
            </w:pPr>
            <w:r/>
            <w:r>
              <w:rPr>
                <w:sz w:val="19"/>
              </w:rPr>
              <w:t>Main, lump sum</w:t>
            </w:r>
          </w:p>
        </w:tc>
        <w:tc>
          <w:tcPr>
            <w:tcW w:type="dxa" w:w="1531"/>
          </w:tcPr>
          <w:p>
            <w:pPr>
              <w:keepNext/>
              <w:spacing w:after="20"/>
            </w:pPr>
            <w:r/>
            <w:r>
              <w:rPr>
                <w:sz w:val="19"/>
              </w:rPr>
              <w:t>$</w:t>
            </w:r>
          </w:p>
        </w:tc>
      </w:tr>
      <w:tr>
        <w:trPr>
          <w:cantSplit/>
        </w:trPr>
        <w:tc>
          <w:tcPr>
            <w:tcW w:type="dxa" w:w="794"/>
            <w:shd w:val="clear" w:color="auto" w:fill="F7F1DE"/>
          </w:tcPr>
          <w:p>
            <w:pPr>
              <w:keepNext/>
              <w:spacing w:after="20"/>
            </w:pPr>
            <w:r/>
            <w:r>
              <w:rPr>
                <w:sz w:val="19"/>
              </w:rPr>
              <w:t>V2</w:t>
            </w:r>
          </w:p>
        </w:tc>
        <w:tc>
          <w:tcPr>
            <w:tcW w:type="dxa" w:w="5669"/>
            <w:shd w:val="clear" w:color="auto" w:fill="F7F1DE"/>
          </w:tcPr>
          <w:p>
            <w:pPr>
              <w:keepNext/>
              <w:spacing w:after="20"/>
            </w:pPr>
            <w:r/>
            <w:r>
              <w:rPr>
                <w:sz w:val="19"/>
              </w:rPr>
              <w:t>Floor levels, up to 20</w:t>
            </w:r>
          </w:p>
        </w:tc>
        <w:tc>
          <w:tcPr>
            <w:tcW w:type="dxa" w:w="1361"/>
            <w:shd w:val="clear" w:color="auto" w:fill="F7F1DE"/>
          </w:tcPr>
          <w:p>
            <w:pPr>
              <w:keepNext/>
              <w:spacing w:after="20"/>
            </w:pPr>
            <w:r/>
            <w:r>
              <w:rPr>
                <w:sz w:val="19"/>
              </w:rPr>
              <w:t>Main, lump sum</w:t>
            </w:r>
          </w:p>
        </w:tc>
        <w:tc>
          <w:tcPr>
            <w:tcW w:type="dxa" w:w="1531"/>
            <w:shd w:val="clear" w:color="auto" w:fill="F7F1DE"/>
          </w:tcPr>
          <w:p>
            <w:pPr>
              <w:keepNext/>
              <w:spacing w:after="20"/>
            </w:pPr>
            <w:r/>
            <w:r>
              <w:rPr>
                <w:sz w:val="19"/>
              </w:rPr>
              <w:t>$</w:t>
            </w:r>
          </w:p>
        </w:tc>
      </w:tr>
      <w:tr>
        <w:trPr>
          <w:cantSplit/>
        </w:trPr>
        <w:tc>
          <w:tcPr>
            <w:tcW w:type="dxa" w:w="794"/>
          </w:tcPr>
          <w:p>
            <w:pPr>
              <w:keepNext/>
              <w:spacing w:after="20"/>
            </w:pPr>
            <w:r/>
          </w:p>
        </w:tc>
        <w:tc>
          <w:tcPr>
            <w:tcW w:type="dxa" w:w="5669"/>
          </w:tcPr>
          <w:p>
            <w:pPr>
              <w:keepNext/>
              <w:spacing w:after="20"/>
            </w:pPr>
            <w:r/>
            <w:r>
              <w:rPr>
                <w:sz w:val="19"/>
              </w:rPr>
              <w:t>Each additional floor level</w:t>
            </w:r>
          </w:p>
        </w:tc>
        <w:tc>
          <w:tcPr>
            <w:tcW w:type="dxa" w:w="1361"/>
          </w:tcPr>
          <w:p>
            <w:pPr>
              <w:keepNext/>
              <w:spacing w:after="20"/>
            </w:pPr>
            <w:r/>
            <w:r>
              <w:rPr>
                <w:sz w:val="19"/>
              </w:rPr>
              <w:t>Rate</w:t>
            </w:r>
          </w:p>
        </w:tc>
        <w:tc>
          <w:tcPr>
            <w:tcW w:type="dxa" w:w="1531"/>
          </w:tcPr>
          <w:p>
            <w:pPr>
              <w:keepNext/>
              <w:spacing w:after="20"/>
            </w:pPr>
            <w:r/>
            <w:r>
              <w:rPr>
                <w:sz w:val="19"/>
              </w:rPr>
              <w:t>$ / property</w:t>
            </w:r>
          </w:p>
        </w:tc>
      </w:tr>
      <w:tr>
        <w:trPr>
          <w:cantSplit/>
        </w:trPr>
        <w:tc>
          <w:tcPr>
            <w:tcW w:type="dxa" w:w="794"/>
            <w:shd w:val="clear" w:color="auto" w:fill="F7F1DE"/>
          </w:tcPr>
          <w:p>
            <w:pPr>
              <w:keepNext/>
              <w:spacing w:after="20"/>
            </w:pPr>
            <w:r/>
            <w:r>
              <w:rPr>
                <w:sz w:val="19"/>
              </w:rPr>
              <w:t>V3</w:t>
            </w:r>
          </w:p>
        </w:tc>
        <w:tc>
          <w:tcPr>
            <w:tcW w:type="dxa" w:w="5669"/>
            <w:shd w:val="clear" w:color="auto" w:fill="F7F1DE"/>
          </w:tcPr>
          <w:p>
            <w:pPr>
              <w:keepNext/>
              <w:spacing w:after="20"/>
            </w:pPr>
            <w:r/>
            <w:r>
              <w:rPr>
                <w:sz w:val="19"/>
              </w:rPr>
              <w:t>LiDAR check</w:t>
            </w:r>
          </w:p>
        </w:tc>
        <w:tc>
          <w:tcPr>
            <w:tcW w:type="dxa" w:w="1361"/>
            <w:shd w:val="clear" w:color="auto" w:fill="F7F1DE"/>
          </w:tcPr>
          <w:p>
            <w:pPr>
              <w:keepNext/>
              <w:spacing w:after="20"/>
            </w:pPr>
            <w:r/>
            <w:r>
              <w:rPr>
                <w:sz w:val="19"/>
              </w:rPr>
              <w:t>Main, lump sum</w:t>
            </w:r>
          </w:p>
        </w:tc>
        <w:tc>
          <w:tcPr>
            <w:tcW w:type="dxa" w:w="1531"/>
            <w:shd w:val="clear" w:color="auto" w:fill="F7F1DE"/>
          </w:tcPr>
          <w:p>
            <w:pPr>
              <w:keepNext/>
              <w:spacing w:after="20"/>
            </w:pPr>
            <w:r/>
            <w:r>
              <w:rPr>
                <w:sz w:val="19"/>
              </w:rPr>
              <w:t>$</w:t>
            </w:r>
          </w:p>
        </w:tc>
      </w:tr>
      <w:tr>
        <w:trPr>
          <w:cantSplit/>
        </w:trPr>
        <w:tc>
          <w:tcPr>
            <w:tcW w:type="dxa" w:w="794"/>
          </w:tcPr>
          <w:p>
            <w:pPr>
              <w:keepNext/>
              <w:spacing w:after="20"/>
            </w:pPr>
            <w:r/>
          </w:p>
        </w:tc>
        <w:tc>
          <w:tcPr>
            <w:tcW w:type="dxa" w:w="5669"/>
          </w:tcPr>
          <w:p>
            <w:pPr>
              <w:keepNext/>
              <w:spacing w:after="20"/>
            </w:pPr>
            <w:r/>
            <w:r>
              <w:rPr>
                <w:b/>
                <w:sz w:val="19"/>
              </w:rPr>
              <w:t>Main offer total (V1 to V3)</w:t>
            </w:r>
          </w:p>
        </w:tc>
        <w:tc>
          <w:tcPr>
            <w:tcW w:type="dxa" w:w="1361"/>
          </w:tcPr>
          <w:p>
            <w:pPr>
              <w:keepNext/>
              <w:spacing w:after="20"/>
            </w:pPr>
            <w:r/>
          </w:p>
        </w:tc>
        <w:tc>
          <w:tcPr>
            <w:tcW w:type="dxa" w:w="1531"/>
          </w:tcPr>
          <w:p>
            <w:pPr>
              <w:keepNext/>
              <w:spacing w:after="20"/>
            </w:pPr>
            <w:r/>
            <w:r>
              <w:rPr>
                <w:b/>
                <w:sz w:val="19"/>
              </w:rPr>
              <w:t>$</w:t>
            </w:r>
          </w:p>
        </w:tc>
      </w:tr>
      <w:tr>
        <w:trPr>
          <w:cantSplit/>
        </w:trPr>
        <w:tc>
          <w:tcPr>
            <w:tcW w:type="dxa" w:w="794"/>
            <w:shd w:val="clear" w:color="auto" w:fill="F7F1DE"/>
          </w:tcPr>
          <w:p>
            <w:pPr>
              <w:keepNext/>
              <w:spacing w:after="20"/>
            </w:pPr>
            <w:r/>
            <w:r>
              <w:rPr>
                <w:sz w:val="19"/>
              </w:rPr>
              <w:t>V4</w:t>
            </w:r>
          </w:p>
        </w:tc>
        <w:tc>
          <w:tcPr>
            <w:tcW w:type="dxa" w:w="5669"/>
            <w:shd w:val="clear" w:color="auto" w:fill="F7F1DE"/>
          </w:tcPr>
          <w:p>
            <w:pPr>
              <w:keepNext/>
              <w:spacing w:after="20"/>
            </w:pPr>
            <w:r/>
            <w:r>
              <w:rPr>
                <w:sz w:val="19"/>
              </w:rPr>
              <w:t>Survey crew day rate (Schedule C item 2.1)</w:t>
            </w:r>
          </w:p>
        </w:tc>
        <w:tc>
          <w:tcPr>
            <w:tcW w:type="dxa" w:w="1361"/>
            <w:shd w:val="clear" w:color="auto" w:fill="F7F1DE"/>
          </w:tcPr>
          <w:p>
            <w:pPr>
              <w:keepNext/>
              <w:spacing w:after="20"/>
            </w:pPr>
            <w:r/>
            <w:r>
              <w:rPr>
                <w:sz w:val="19"/>
              </w:rPr>
              <w:t>Rate, per day</w:t>
            </w:r>
          </w:p>
        </w:tc>
        <w:tc>
          <w:tcPr>
            <w:tcW w:type="dxa" w:w="1531"/>
            <w:shd w:val="clear" w:color="auto" w:fill="F7F1DE"/>
          </w:tcPr>
          <w:p>
            <w:pPr>
              <w:keepNext/>
              <w:spacing w:after="20"/>
            </w:pPr>
            <w:r/>
            <w:r>
              <w:rPr>
                <w:sz w:val="19"/>
              </w:rPr>
              <w:t>$ / day</w:t>
            </w:r>
          </w:p>
        </w:tc>
      </w:tr>
      <w:tr>
        <w:trPr>
          <w:cantSplit/>
        </w:trPr>
        <w:tc>
          <w:tcPr>
            <w:tcW w:type="dxa" w:w="794"/>
          </w:tcPr>
          <w:p>
            <w:pPr>
              <w:keepNext/>
              <w:spacing w:after="20"/>
            </w:pPr>
            <w:r/>
            <w:r>
              <w:rPr>
                <w:sz w:val="19"/>
              </w:rPr>
              <w:t>V5</w:t>
            </w:r>
          </w:p>
        </w:tc>
        <w:tc>
          <w:tcPr>
            <w:tcW w:type="dxa" w:w="5669"/>
          </w:tcPr>
          <w:p>
            <w:pPr>
              <w:keepNext/>
              <w:spacing w:after="20"/>
            </w:pPr>
            <w:r/>
            <w:r>
              <w:rPr>
                <w:sz w:val="19"/>
              </w:rPr>
              <w:t>Full corridor feature survey</w:t>
            </w:r>
          </w:p>
        </w:tc>
        <w:tc>
          <w:tcPr>
            <w:tcW w:type="dxa" w:w="1361"/>
          </w:tcPr>
          <w:p>
            <w:pPr>
              <w:keepNext/>
              <w:spacing w:after="20"/>
            </w:pPr>
            <w:r/>
            <w:r>
              <w:rPr>
                <w:sz w:val="19"/>
              </w:rPr>
              <w:t>Alternative A</w:t>
            </w:r>
          </w:p>
        </w:tc>
        <w:tc>
          <w:tcPr>
            <w:tcW w:type="dxa" w:w="1531"/>
          </w:tcPr>
          <w:p>
            <w:pPr>
              <w:keepNext/>
              <w:spacing w:after="20"/>
            </w:pPr>
            <w:r/>
            <w:r>
              <w:rPr>
                <w:sz w:val="19"/>
              </w:rPr>
              <w:t>$</w:t>
            </w:r>
          </w:p>
        </w:tc>
      </w:tr>
      <w:tr>
        <w:trPr>
          <w:cantSplit/>
        </w:trPr>
        <w:tc>
          <w:tcPr>
            <w:tcW w:type="dxa" w:w="794"/>
            <w:shd w:val="clear" w:color="auto" w:fill="F7F1DE"/>
          </w:tcPr>
          <w:p>
            <w:pPr>
              <w:spacing w:after="20"/>
            </w:pPr>
            <w:r/>
            <w:r>
              <w:rPr>
                <w:sz w:val="19"/>
              </w:rPr>
              <w:t>V6</w:t>
            </w:r>
          </w:p>
        </w:tc>
        <w:tc>
          <w:tcPr>
            <w:tcW w:type="dxa" w:w="5669"/>
            <w:shd w:val="clear" w:color="auto" w:fill="F7F1DE"/>
          </w:tcPr>
          <w:p>
            <w:pPr>
              <w:spacing w:after="20"/>
            </w:pPr>
            <w:r/>
            <w:r>
              <w:rPr>
                <w:sz w:val="19"/>
              </w:rPr>
              <w:t>Cadastral re-establishment and searches</w:t>
            </w:r>
          </w:p>
        </w:tc>
        <w:tc>
          <w:tcPr>
            <w:tcW w:type="dxa" w:w="1361"/>
            <w:shd w:val="clear" w:color="auto" w:fill="F7F1DE"/>
          </w:tcPr>
          <w:p>
            <w:pPr>
              <w:spacing w:after="20"/>
            </w:pPr>
            <w:r/>
            <w:r>
              <w:rPr>
                <w:sz w:val="19"/>
              </w:rPr>
              <w:t>Alternative A</w:t>
            </w:r>
          </w:p>
        </w:tc>
        <w:tc>
          <w:tcPr>
            <w:tcW w:type="dxa" w:w="1531"/>
            <w:shd w:val="clear" w:color="auto" w:fill="F7F1DE"/>
          </w:tcPr>
          <w:p>
            <w:pPr>
              <w:spacing w:after="20"/>
            </w:pPr>
            <w:r/>
            <w:r>
              <w:rPr>
                <w:sz w:val="19"/>
              </w:rPr>
              <w:t>$</w:t>
            </w:r>
          </w:p>
        </w:tc>
      </w:tr>
    </w:tbl>
    <w:p>
      <w:pPr>
        <w:spacing w:after="40"/>
      </w:pPr>
    </w:p>
    <w:p>
      <w:r>
        <w:rPr/>
        <w:t>JCE's main offer carries an allowance of $7,000 excluding GST (before JCE's margin) for V1 to V3. Council scores local content: please state whether your firm is based in Mount Alexander Shire or an adjoining municipality (Greater Bendigo, Loddon, Central Goldfields, Hepburn, Macedon Ranges).</w:t>
      </w:r>
    </w:p>
    <w:p>
      <w:pPr>
        <w:pStyle w:val="Heading1"/>
      </w:pPr>
      <w:r>
        <w:t>6.1   QUOTATION CONTENT AND VALIDITY</w:t>
      </w:r>
    </w:p>
    <w:p>
      <w:pPr>
        <w:pStyle w:val="ListBullet"/>
        <w:spacing w:after="60"/>
      </w:pPr>
      <w:r>
        <w:rPr/>
        <w:t>Lump sums against each item in Section 6.0, in AUD excluding GST, using the same item references.</w:t>
      </w:r>
    </w:p>
    <w:p>
      <w:pPr>
        <w:pStyle w:val="ListBullet"/>
        <w:spacing w:after="60"/>
      </w:pPr>
      <w:r>
        <w:rPr/>
        <w:t>A schedule of hourly rates by role for variations (these go into Council's Schedule D).</w:t>
      </w:r>
    </w:p>
    <w:p>
      <w:pPr>
        <w:pStyle w:val="ListBullet"/>
        <w:spacing w:after="60"/>
      </w:pPr>
      <w:r>
        <w:rPr/>
        <w:t>Disbursements (travel, accommodation, equipment, laboratory), included or listed separately.</w:t>
      </w:r>
    </w:p>
    <w:p>
      <w:pPr>
        <w:pStyle w:val="ListBullet"/>
        <w:spacing w:after="60"/>
      </w:pPr>
      <w:r>
        <w:rPr/>
        <w:t>Inclusions, exclusions and assumptions.</w:t>
      </w:r>
    </w:p>
    <w:p>
      <w:pPr>
        <w:pStyle w:val="ListBullet"/>
        <w:spacing w:after="60"/>
      </w:pPr>
      <w:r>
        <w:rPr/>
        <w:t>Validity of at least ninety (90) days from the quotation due date (to 14/01/2027). Council may negotiate for 60 days after close and expects to award on 06/11/2026.</w:t>
      </w:r>
    </w:p>
    <w:p>
      <w:pPr>
        <w:pStyle w:val="Heading1"/>
      </w:pPr>
      <w:r>
        <w:t>7.0   CONFIDENTIALITY</w:t>
      </w:r>
    </w:p>
    <w:p>
      <w:r>
        <w:rPr/>
        <w:t>This request and the tender information attached are confidential. They are issued only so you can quote to JCE and must not be used for any other purpose or disclosed to anyone else, other than your insurers and advisers on a confidential basis. Please do not contact Council or Councillors about the RFQ (canvassing disqualifies tenderers); direct all questions to JCE. If you are not engaged, please delete or return the information on request.</w:t>
      </w:r>
    </w:p>
    <w:p>
      <w:pPr>
        <w:pStyle w:val="Heading1"/>
      </w:pPr>
      <w:r>
        <w:t>8.0   BASIS OF ENGAGEMENT</w:t>
      </w:r>
    </w:p>
    <w:p>
      <w:r>
        <w:rPr/>
        <w:t>Any engagement depends on Council awarding the contract for RFQ M2025-125 to JCE. If engaged, you will be appointed under a sub-consultant agreement with JCE that passes down the relevant terms of JCE's AS 4122:2010 contract with Council (laws of Victoria), including scope, program, insurance, confidentiality, intellectual property (all outputs and data vest in NCCMA and Council, Brief 1.11) and payment within 30 business days of JCE's claim being accepted. Provisional sum items proceed only on Council's prior written direction. JCE is not obliged to accept the lowest or any quotation, and no payment is made for preparing a quotation.</w:t>
      </w:r>
    </w:p>
    <w:p>
      <w:pPr>
        <w:keepNext/>
      </w:pPr>
      <w:r>
        <w:rPr/>
        <w:t>Please contact me on 0477 207 027 to discuss the scope.</w:t>
      </w:r>
    </w:p>
    <w:tbl>
      <w:tblPr>
        <w:tblW w:type="auto" w:w="0"/>
        <w:tblLayout w:type="fixed"/>
        <w:tblLook w:firstColumn="1" w:firstRow="1" w:lastColumn="0" w:lastRow="0" w:noHBand="0" w:noVBand="1" w:val="04A0"/>
      </w:tblPr>
      <w:tblGrid>
        <w:gridCol w:w="9354"/>
      </w:tblGrid>
      <w:tr>
        <w:trPr>
          <w:cantSplit/>
        </w:trPr>
        <w:tc>
          <w:tcPr>
            <w:tcW w:type="dxa" w:w="9354"/>
          </w:tcPr>
          <w:p>
            <w:pPr>
              <w:keepNext/>
              <w:spacing w:after="20"/>
            </w:pPr>
            <w:r/>
            <w:r>
              <w:rPr>
                <w:sz w:val="21"/>
              </w:rPr>
              <w:t>Yours faithfully,</w:t>
            </w:r>
          </w:p>
          <w:p>
            <w:pPr>
              <w:keepNext/>
              <w:spacing w:after="20"/>
            </w:pPr>
          </w:p>
          <w:p>
            <w:pPr>
              <w:keepNext/>
              <w:spacing w:after="20"/>
            </w:pPr>
            <w:r>
              <w:rPr>
                <w:sz w:val="21"/>
              </w:rPr>
              <w:t>[signature]</w:t>
            </w:r>
          </w:p>
          <w:p>
            <w:pPr>
              <w:keepNext/>
              <w:spacing w:after="20"/>
            </w:pPr>
          </w:p>
          <w:p>
            <w:pPr>
              <w:keepNext/>
              <w:spacing w:after="20"/>
            </w:pPr>
            <w:r>
              <w:rPr>
                <w:b/>
                <w:sz w:val="21"/>
              </w:rPr>
              <w:t>Jayden Callen</w:t>
            </w:r>
          </w:p>
          <w:p>
            <w:pPr>
              <w:keepNext/>
              <w:spacing w:after="20"/>
            </w:pPr>
            <w:r>
              <w:rPr>
                <w:sz w:val="21"/>
              </w:rPr>
              <w:t>Director, JCE Infrastructure Pty Ltd</w:t>
            </w:r>
          </w:p>
          <w:p>
            <w:pPr>
              <w:keepNext/>
              <w:spacing w:after="20"/>
            </w:pPr>
            <w:r>
              <w:rPr>
                <w:sz w:val="21"/>
              </w:rPr>
              <w:t>0477 207 027  |  jayden@jceinfrastructure.com.au</w:t>
            </w:r>
          </w:p>
          <w:p>
            <w:pPr>
              <w:keepNext/>
              <w:spacing w:after="20"/>
            </w:pPr>
            <w:r>
              <w:rPr>
                <w:sz w:val="21"/>
              </w:rPr>
              <w:t>Date: [dd/10/2026]</w:t>
            </w:r>
          </w:p>
        </w:tc>
      </w:tr>
    </w:tbl>
    <w:p>
      <w:pPr>
        <w:pStyle w:val="Heading1"/>
      </w:pPr>
      <w:r>
        <w:t>ATTACHMENTS</w:t>
      </w:r>
    </w:p>
    <w:p>
      <w:pPr>
        <w:pStyle w:val="ListBullet"/>
        <w:spacing w:after="60"/>
      </w:pPr>
      <w:r>
        <w:rPr/>
        <w:t>Attachment_1-Project_Brief_and_General_Specification.pdf (Council's Project Brief, in full)</w:t>
      </w:r>
    </w:p>
    <w:sectPr w:rsidR="00FC693F" w:rsidRPr="0006063C" w:rsidSect="00034616">
      <w:headerReference w:type="default" r:id="rId9"/>
      <w:footerReference w:type="default" r:id="rId10"/>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JCE Infrastructure Pty Ltd  |  ABN 29 699 165 663  |  jceinfrastructure.com.au  |  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JCE-RFQ-VP527574-SV Rev C  |  Supplementary survey and survey day rate  |  Newstead Levee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C9A22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