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Request for Quotation: Town planning (contributions planning)</w:t>
      </w:r>
    </w:p>
    <w:p>
      <w:pPr>
        <w:pBdr>
          <w:bottom w:val="single" w:sz="10" w:space="1" w:color="C9A227"/>
        </w:pBdr>
      </w:pPr>
      <w:r>
        <w:rPr>
          <w:b/>
          <w:color w:val="C9A227"/>
          <w:sz w:val="22"/>
        </w:rPr>
        <w:t>Mid-Western Development Contributions Plan 2027 (Council RFQ2026_93, eProcure MWRCCMS001497)  |  Revision C</w:t>
      </w:r>
    </w:p>
    <w:tbl>
      <w:tblPr>
        <w:tblStyle w:val="TableGrid"/>
        <w:tblW w:type="auto" w:w="0"/>
        <w:jc w:val="center"/>
        <w:tblLayout w:type="fixed"/>
        <w:tblLook w:firstColumn="1" w:firstRow="1" w:lastColumn="0" w:lastRow="0" w:noHBand="0" w:noVBand="1" w:val="04A0"/>
        <w:tblLayout w:type="fixed"/>
      </w:tblPr>
      <w:tblGrid>
        <w:gridCol w:w="2381"/>
        <w:gridCol w:w="7257"/>
      </w:tblGrid>
      <w:tr>
        <w:trPr>
          <w:cantSplit/>
        </w:trPr>
        <w:tc>
          <w:tcPr>
            <w:tcW w:type="dxa" w:w="2381"/>
            <w:shd w:val="clear" w:color="auto" w:fill="1A1A1A"/>
          </w:tcPr>
          <w:p>
            <w:pPr>
              <w:keepNext/>
              <w:spacing w:after="20"/>
            </w:pPr>
            <w:r/>
            <w:r>
              <w:rPr>
                <w:b/>
                <w:color w:val="FFFFFF"/>
                <w:sz w:val="18"/>
              </w:rPr>
              <w:t>Item</w:t>
            </w:r>
          </w:p>
        </w:tc>
        <w:tc>
          <w:tcPr>
            <w:tcW w:type="dxa" w:w="7257"/>
            <w:shd w:val="clear" w:color="auto" w:fill="1A1A1A"/>
          </w:tcPr>
          <w:p>
            <w:pPr>
              <w:keepNext/>
              <w:spacing w:after="20"/>
            </w:pPr>
            <w:r/>
            <w:r>
              <w:rPr>
                <w:b/>
                <w:color w:val="FFFFFF"/>
                <w:sz w:val="18"/>
              </w:rPr>
              <w:t>Details</w:t>
            </w:r>
          </w:p>
        </w:tc>
      </w:tr>
      <w:tr>
        <w:trPr>
          <w:cantSplit/>
        </w:trPr>
        <w:tc>
          <w:tcPr>
            <w:tcW w:type="dxa" w:w="2381"/>
          </w:tcPr>
          <w:p>
            <w:pPr>
              <w:keepNext/>
              <w:spacing w:after="20"/>
            </w:pPr>
            <w:r/>
            <w:r>
              <w:rPr>
                <w:sz w:val="18"/>
              </w:rPr>
              <w:t>Date</w:t>
            </w:r>
          </w:p>
        </w:tc>
        <w:tc>
          <w:tcPr>
            <w:tcW w:type="dxa" w:w="7257"/>
          </w:tcPr>
          <w:p>
            <w:pPr>
              <w:keepNext/>
              <w:spacing w:after="20"/>
            </w:pPr>
            <w:r/>
            <w:r>
              <w:rPr>
                <w:sz w:val="18"/>
              </w:rPr>
              <w:t>12/10/2026 (Revision C: defined planning role; replaces Revisions A and B)</w:t>
            </w:r>
          </w:p>
        </w:tc>
      </w:tr>
      <w:tr>
        <w:trPr>
          <w:cantSplit/>
        </w:trPr>
        <w:tc>
          <w:tcPr>
            <w:tcW w:type="dxa" w:w="2381"/>
          </w:tcPr>
          <w:p>
            <w:pPr>
              <w:keepNext/>
              <w:spacing w:after="20"/>
            </w:pPr>
            <w:r/>
            <w:r>
              <w:rPr>
                <w:sz w:val="18"/>
              </w:rPr>
              <w:t>To</w:t>
            </w:r>
          </w:p>
        </w:tc>
        <w:tc>
          <w:tcPr>
            <w:tcW w:type="dxa" w:w="7257"/>
          </w:tcPr>
          <w:p>
            <w:pPr>
              <w:keepNext/>
              <w:spacing w:after="20"/>
            </w:pPr>
            <w:r/>
            <w:r>
              <w:rPr>
                <w:sz w:val="18"/>
              </w:rPr>
              <w:t>Navigate Planning</w:t>
            </w:r>
          </w:p>
        </w:tc>
      </w:tr>
      <w:tr>
        <w:trPr>
          <w:cantSplit/>
        </w:trPr>
        <w:tc>
          <w:tcPr>
            <w:tcW w:type="dxa" w:w="2381"/>
          </w:tcPr>
          <w:p>
            <w:pPr>
              <w:keepNext/>
              <w:spacing w:after="20"/>
            </w:pPr>
            <w:r/>
            <w:r>
              <w:rPr>
                <w:sz w:val="18"/>
              </w:rPr>
              <w:t>Attention</w:t>
            </w:r>
          </w:p>
        </w:tc>
        <w:tc>
          <w:tcPr>
            <w:tcW w:type="dxa" w:w="7257"/>
          </w:tcPr>
          <w:p>
            <w:pPr>
              <w:keepNext/>
              <w:spacing w:after="20"/>
            </w:pPr>
            <w:r/>
            <w:r>
              <w:rPr>
                <w:sz w:val="18"/>
              </w:rPr>
              <w:t>Mark Hitchenson</w:t>
            </w:r>
          </w:p>
        </w:tc>
      </w:tr>
      <w:tr>
        <w:trPr>
          <w:cantSplit/>
        </w:trPr>
        <w:tc>
          <w:tcPr>
            <w:tcW w:type="dxa" w:w="2381"/>
          </w:tcPr>
          <w:p>
            <w:pPr>
              <w:keepNext/>
              <w:spacing w:after="20"/>
            </w:pPr>
            <w:r/>
            <w:r>
              <w:rPr>
                <w:sz w:val="18"/>
              </w:rPr>
              <w:t>From</w:t>
            </w:r>
          </w:p>
        </w:tc>
        <w:tc>
          <w:tcPr>
            <w:tcW w:type="dxa" w:w="7257"/>
          </w:tcPr>
          <w:p>
            <w:pPr>
              <w:keepNext/>
              <w:spacing w:after="20"/>
            </w:pPr>
            <w:r/>
            <w:r>
              <w:rPr>
                <w:sz w:val="18"/>
              </w:rPr>
              <w:t>Jayden Callen, Director, JCE Infrastructure Pty Ltd</w:t>
            </w:r>
          </w:p>
        </w:tc>
      </w:tr>
      <w:tr>
        <w:trPr>
          <w:cantSplit/>
        </w:trPr>
        <w:tc>
          <w:tcPr>
            <w:tcW w:type="dxa" w:w="2381"/>
          </w:tcPr>
          <w:p>
            <w:pPr>
              <w:keepNext/>
              <w:spacing w:after="20"/>
            </w:pPr>
            <w:r/>
            <w:r>
              <w:rPr>
                <w:sz w:val="18"/>
              </w:rPr>
              <w:t>JCE reference</w:t>
            </w:r>
          </w:p>
        </w:tc>
        <w:tc>
          <w:tcPr>
            <w:tcW w:type="dxa" w:w="7257"/>
          </w:tcPr>
          <w:p>
            <w:pPr>
              <w:keepNext/>
              <w:spacing w:after="20"/>
            </w:pPr>
            <w:r/>
            <w:r>
              <w:rPr>
                <w:sz w:val="18"/>
              </w:rPr>
              <w:t>JCE-RFQ-MWRCCMS001497-TOW Rev C</w:t>
            </w:r>
          </w:p>
        </w:tc>
      </w:tr>
      <w:tr>
        <w:trPr>
          <w:cantSplit/>
        </w:trPr>
        <w:tc>
          <w:tcPr>
            <w:tcW w:type="dxa" w:w="2381"/>
          </w:tcPr>
          <w:p>
            <w:pPr>
              <w:keepNext/>
              <w:spacing w:after="20"/>
            </w:pPr>
            <w:r/>
            <w:r>
              <w:rPr>
                <w:sz w:val="18"/>
              </w:rPr>
              <w:t>Discipline</w:t>
            </w:r>
          </w:p>
        </w:tc>
        <w:tc>
          <w:tcPr>
            <w:tcW w:type="dxa" w:w="7257"/>
          </w:tcPr>
          <w:p>
            <w:pPr>
              <w:keepNext/>
              <w:spacing w:after="20"/>
            </w:pPr>
            <w:r/>
            <w:r>
              <w:rPr>
                <w:sz w:val="18"/>
              </w:rPr>
              <w:t>Town planning (contributions planning)</w:t>
            </w:r>
          </w:p>
        </w:tc>
      </w:tr>
      <w:tr>
        <w:trPr>
          <w:cantSplit/>
        </w:trPr>
        <w:tc>
          <w:tcPr>
            <w:tcW w:type="dxa" w:w="2381"/>
          </w:tcPr>
          <w:p>
            <w:pPr>
              <w:keepNext/>
              <w:spacing w:after="20"/>
            </w:pPr>
            <w:r/>
            <w:r>
              <w:rPr>
                <w:sz w:val="18"/>
              </w:rPr>
              <w:t>Quote due</w:t>
            </w:r>
          </w:p>
        </w:tc>
        <w:tc>
          <w:tcPr>
            <w:tcW w:type="dxa" w:w="7257"/>
          </w:tcPr>
          <w:p>
            <w:pPr>
              <w:keepNext/>
              <w:spacing w:after="20"/>
            </w:pPr>
            <w:r/>
            <w:r>
              <w:rPr>
                <w:sz w:val="18"/>
              </w:rPr>
              <w:t>12:00pm Thursday 15/10/2026</w:t>
            </w:r>
          </w:p>
        </w:tc>
      </w:tr>
      <w:tr>
        <w:trPr>
          <w:cantSplit/>
        </w:trPr>
        <w:tc>
          <w:tcPr>
            <w:tcW w:type="dxa" w:w="2381"/>
          </w:tcPr>
          <w:p>
            <w:pPr>
              <w:keepNext w:val="0"/>
              <w:spacing w:after="20"/>
            </w:pPr>
            <w:r/>
            <w:r>
              <w:rPr>
                <w:sz w:val="18"/>
              </w:rPr>
              <w:t>Council RFQ closes</w:t>
            </w:r>
          </w:p>
        </w:tc>
        <w:tc>
          <w:tcPr>
            <w:tcW w:type="dxa" w:w="7257"/>
          </w:tcPr>
          <w:p>
            <w:pPr>
              <w:keepNext w:val="0"/>
              <w:spacing w:after="20"/>
            </w:pPr>
            <w:r/>
            <w:r>
              <w:rPr>
                <w:sz w:val="18"/>
              </w:rPr>
              <w:t>2:00pm Monday 19/10/2026</w:t>
            </w:r>
          </w:p>
        </w:tc>
      </w:tr>
    </w:tbl>
    <w:p>
      <w:pPr>
        <w:spacing w:after="40"/>
      </w:pPr>
    </w:p>
    <w:p>
      <w:pPr>
        <w:keepNext/>
        <w:spacing w:before="200"/>
      </w:pPr>
      <w:r>
        <w:rPr>
          <w:b/>
          <w:sz w:val="24"/>
        </w:rPr>
        <w:t>1. Project and tender background</w:t>
      </w:r>
    </w:p>
    <w:p>
      <w:r>
        <w:t>Mid-Western Regional Council (Council) has invited quotations under RFQ2026_93 (eProcure MWRCCMS001497) for the Mid-Western Development Contributions Plan 2027: a comprehensive review of the Mid-Western Regional Contributions Plan 2019 and preparation of a new Section 7.11 and Section 7.12 Contributions Plan under the Environmental Planning and Assessment Act 1979. Council's RFQ closes at 2:00pm Monday 19/10/2026.</w:t>
      </w:r>
    </w:p>
    <w:p>
      <w:r>
        <w:t>The new Plan is to respond to Council's Housing Strategy, Employment Lands Strategy and the future Mudgee Town Centre Growth Strategy, and to include provisions for car parking contributions in the Mudgee Town Centre and for oversize overmass (OSOM) / heavy haulage vehicle movements, building on Council's draft Heavy Vehicle (OSOM) Contributions Plan. Stage 2 is also to test the infrastructure impacts of growth associated with the Central-West Orana Renewable Energy Zone (REZ).</w:t>
      </w:r>
    </w:p>
    <w:p>
      <w:r>
        <w:t>Council's stages and timeframes: Stage 1 Inception and Review (evaluation report within 4 weeks of commencement, early December 2026); Stage 2 Contributions Framework (short discussion paper within 8 weeks, mid to late January 2027); Stage 3 Preparation of the New Contributions Plan (draft within 14 weeks, final within 26 weeks, May 2027, with a Staff Contributions Administration Guide). Commencement is anticipated in November 2026. Council requires provision for 4 revisions of draft documents, all project meetings on Microsoft Teams, and one virtual and one in-person briefing with Council staff outside the project team and Councillors.</w:t>
      </w:r>
    </w:p>
    <w:p>
      <w:r>
        <w:t>JCE Infrastructure Pty Ltd (JCE) intends to quote as lead consultant. JCE will deliver the transport and stormwater infrastructure inputs, works schedules and engineering cost estimates, the car parking cost basis and the OSOM / heavy haulage contribution, with independent review by JCE's associate certifying engineer.</w:t>
      </w:r>
    </w:p>
    <w:p>
      <w:r>
        <w:t>JCE leads the road and transport side of the plan and manages the project. JCE seeks a town planning firm with demonstrated NSW local infrastructure contributions plan experience for a defined role: the parts of the work that need NSW contributions plan expertise, and review and sign-off of the final plans. This Revision C narrows the planning scope in Revision B; the role is stated openly in JCE's proposal to Council and is not a placeholder.</w:t>
      </w:r>
    </w:p>
    <w:p>
      <w:pPr>
        <w:keepNext/>
        <w:spacing w:before="200"/>
      </w:pPr>
      <w:r>
        <w:rPr>
          <w:b/>
          <w:sz w:val="24"/>
        </w:rPr>
        <w:t>2. Mandatory requirement: NSW contributions plan experience</w:t>
      </w:r>
    </w:p>
    <w:p>
      <w:pPr>
        <w:keepNext/>
      </w:pPr>
      <w:r>
        <w:t>Council's RFQ requires the response to show consultant team member experience in reviewing and preparing local infrastructure contributions plans for NSW councils. JCE's bid depends on your firm meeting this requirement. Your quotation must include:</w:t>
      </w:r>
    </w:p>
    <w:p>
      <w:pPr>
        <w:pStyle w:val="ListBullet"/>
        <w:keepNext/>
        <w:spacing w:after="40"/>
      </w:pPr>
      <w:r>
        <w:t>The named lead planner (and any support staff) who will do the work, with a short CV for each, showing experience preparing or reviewing Section 7.11 and Section 7.12 contributions plans for NSW councils.</w:t>
      </w:r>
    </w:p>
    <w:p>
      <w:pPr>
        <w:pStyle w:val="ListBullet"/>
        <w:keepNext/>
        <w:spacing w:after="40"/>
      </w:pPr>
      <w:r>
        <w:t>Two to three NSW contributions plans (Section 7.11 and/or Section 7.12) that the named staff prepared or reviewed: plan name, council, year, the person's role, and a council referee for each (name, position, phone and email).</w:t>
      </w:r>
    </w:p>
    <w:p>
      <w:pPr>
        <w:pStyle w:val="ListBullet"/>
        <w:keepNext/>
        <w:spacing w:after="40"/>
      </w:pPr>
      <w:r>
        <w:t>Written consent for JCE to name your firm, the named staff, their CVs, the projects and referees, and your fee in JCE's submission to Council (tick the consent box on the quote return form).</w:t>
      </w:r>
    </w:p>
    <w:p>
      <w:pPr>
        <w:pStyle w:val="ListBullet"/>
        <w:keepNext/>
        <w:spacing w:after="40"/>
      </w:pPr>
      <w:r>
        <w:t>Confirmation that the named planner will be available from November 2026 to May 2027, will be listed as key personnel under clause 5.4, and will sign off the final plans.</w:t>
      </w:r>
    </w:p>
    <w:p>
      <w:r>
        <w:t>JCE cannot use a quotation without this information.</w:t>
      </w:r>
    </w:p>
    <w:p>
      <w:pPr>
        <w:keepNext/>
        <w:spacing w:before="200"/>
      </w:pPr>
      <w:r>
        <w:rPr>
          <w:b/>
          <w:sz w:val="24"/>
        </w:rPr>
        <w:t>3. Your scope</w:t>
      </w:r>
    </w:p>
    <w:p>
      <w:pPr>
        <w:keepNext/>
      </w:pPr>
      <w:r>
        <w:rPr>
          <w:b/>
        </w:rPr>
        <w:t>Role split</w:t>
      </w:r>
    </w:p>
    <w:p>
      <w:pPr>
        <w:pStyle w:val="ListBullet"/>
        <w:keepNext/>
        <w:spacing w:after="40"/>
      </w:pPr>
      <w:r>
        <w:t>Planner (you): contributions methodology and legal framework; nexus and apportionment approach; drafting of the Contributions Plan; exhibition support on planning matters; review and sign-off of the final plans; legal and procedural content of the Staff Contributions Administration Guide.</w:t>
      </w:r>
    </w:p>
    <w:p>
      <w:pPr>
        <w:pStyle w:val="ListBullet"/>
        <w:keepNext/>
        <w:spacing w:after="40"/>
      </w:pPr>
      <w:r>
        <w:t>JCE: road and transport infrastructure works schedule (road upgrades, intersections, heavy vehicle routes, REZ-related road impacts); Mudgee Town Centre car parking study; traffic and heavy vehicle demand and apportionment inputs; cost estimates for road, drainage and civil works; GIS mapping of works and catchments; staging and indexation inputs; calculation spreadsheet; document compilation and QA; project management and Council liaison. A quantity surveyor prices community facilities only if Council does not hold current costs.</w:t>
      </w:r>
    </w:p>
    <w:p>
      <w:pPr>
        <w:pStyle w:val="ListBullet"/>
        <w:spacing w:after="40"/>
      </w:pPr>
      <w:r>
        <w:t>Key personnel: your named planner will be listed as key personnel under clause 5.4 of Council's contract, must remain on the project for its duration, and cannot be replaced without Council's approval.</w:t>
      </w:r>
    </w:p>
    <w:p>
      <w:pPr>
        <w:keepNext/>
      </w:pPr>
      <w:r>
        <w:rPr>
          <w:b/>
        </w:rPr>
        <w:t>Stage 1: Inception and review</w:t>
      </w:r>
    </w:p>
    <w:p>
      <w:pPr>
        <w:pStyle w:val="ListBullet"/>
        <w:keepNext/>
        <w:spacing w:after="40"/>
      </w:pPr>
      <w:r>
        <w:t>Attend the commencement meeting (Teams).</w:t>
      </w:r>
    </w:p>
    <w:p>
      <w:pPr>
        <w:pStyle w:val="ListBullet"/>
        <w:keepNext/>
        <w:spacing w:after="40"/>
      </w:pPr>
      <w:r>
        <w:t>Evaluate the 2019 Plan's contributions methodology and legal framework against the Act, the EP&amp;A Regulation 2021, current Departmental guidance and approaches of comparable NSW councils: application, development types, mechanisms, rate structure, catchments, exemptions, credits, timing of payment and administration.</w:t>
      </w:r>
    </w:p>
    <w:p>
      <w:pPr>
        <w:pStyle w:val="ListBullet"/>
        <w:spacing w:after="40"/>
      </w:pPr>
      <w:r>
        <w:t>Write the methodology and legal framework sections of the evaluation report. JCE writes the works schedule review and compiles the report.</w:t>
      </w:r>
    </w:p>
    <w:p>
      <w:pPr>
        <w:keepNext/>
      </w:pPr>
      <w:r>
        <w:rPr>
          <w:b/>
        </w:rPr>
        <w:t>Stage 2: Contributions framework</w:t>
      </w:r>
    </w:p>
    <w:p>
      <w:pPr>
        <w:pStyle w:val="ListBullet"/>
        <w:keepNext/>
        <w:spacing w:after="40"/>
      </w:pPr>
      <w:r>
        <w:t>Set the contributions framework and the nexus and apportionment approach, including the application and interaction of Section 7.11 contributions and Section 7.12 levies, and the legal basis for any car parking, heavy vehicle or REZ mechanism (JCE provides the road, parking and heavy vehicle demand, apportionment inputs and costs).</w:t>
      </w:r>
    </w:p>
    <w:p>
      <w:pPr>
        <w:pStyle w:val="ListBullet"/>
        <w:spacing w:after="40"/>
      </w:pPr>
      <w:r>
        <w:t>Write the framework sections of the joint discussion paper. JCE compiles it.</w:t>
      </w:r>
    </w:p>
    <w:p>
      <w:pPr>
        <w:keepNext/>
      </w:pPr>
      <w:r>
        <w:rPr>
          <w:b/>
        </w:rPr>
        <w:t>Stage 3: New Contributions Plan</w:t>
      </w:r>
    </w:p>
    <w:p>
      <w:pPr>
        <w:pStyle w:val="ListBullet"/>
        <w:keepNext/>
        <w:spacing w:after="40"/>
      </w:pPr>
      <w:r>
        <w:t>Draft the Contributions Plan text (rates, apportionment, administration, exemptions and credits provisions), using JCE's works schedules, cost estimates, maps and calculation spreadsheet.</w:t>
      </w:r>
    </w:p>
    <w:p>
      <w:pPr>
        <w:pStyle w:val="ListBullet"/>
        <w:keepNext/>
        <w:spacing w:after="40"/>
      </w:pPr>
      <w:r>
        <w:t>Exhibition support: review planning submissions and draft post-exhibition amendments (JCE responds on road, transport and cost matters).</w:t>
      </w:r>
    </w:p>
    <w:p>
      <w:pPr>
        <w:pStyle w:val="ListBullet"/>
        <w:keepNext/>
        <w:spacing w:after="40"/>
      </w:pPr>
      <w:r>
        <w:t>Review and sign off the final Contributions Plan as the named contributions planner.</w:t>
      </w:r>
    </w:p>
    <w:p>
      <w:pPr>
        <w:pStyle w:val="ListBullet"/>
        <w:keepNext/>
        <w:spacing w:after="40"/>
      </w:pPr>
      <w:r>
        <w:t>Write the legal and procedural content of the Staff Contributions Administration Guide. JCE prepares the calculation worked examples and spreadsheet.</w:t>
      </w:r>
    </w:p>
    <w:p>
      <w:pPr>
        <w:pStyle w:val="ListBullet"/>
        <w:spacing w:after="40"/>
      </w:pPr>
      <w:r>
        <w:t>Four revisions of your sections, as Council requires.</w:t>
      </w:r>
    </w:p>
    <w:p>
      <w:pPr>
        <w:keepNext/>
      </w:pPr>
      <w:r>
        <w:rPr>
          <w:b/>
        </w:rPr>
        <w:t>Meetings</w:t>
      </w:r>
    </w:p>
    <w:p>
      <w:pPr>
        <w:pStyle w:val="ListBullet"/>
        <w:keepNext/>
        <w:spacing w:after="40"/>
      </w:pPr>
      <w:r>
        <w:t>Up to 6 project meetings on Microsoft Teams (inception, each hold point, post-exhibition and final) and the virtual briefing with Council staff and Councillors.</w:t>
      </w:r>
    </w:p>
    <w:p>
      <w:pPr>
        <w:pStyle w:val="ListBullet"/>
        <w:spacing w:after="40"/>
      </w:pPr>
      <w:r>
        <w:t>The in-person briefing in Mudgee is led by JCE. Your attendance in person is an optional item.</w:t>
      </w:r>
    </w:p>
    <w:p>
      <w:r>
        <w:rPr>
          <w:b/>
        </w:rPr>
        <w:t xml:space="preserve">Excluded from your scope: </w:t>
      </w:r>
      <w:r>
        <w:t>Everything listed for JCE above, community facility cost estimates (quantity surveyor), land valuation, legal review and Section 64 plans.</w:t>
      </w:r>
    </w:p>
    <w:p>
      <w:pPr>
        <w:keepNext/>
        <w:spacing w:before="200"/>
      </w:pPr>
      <w:r>
        <w:rPr>
          <w:b/>
          <w:sz w:val="24"/>
        </w:rPr>
        <w:t>4. Deliverables</w:t>
      </w:r>
    </w:p>
    <w:p>
      <w:pPr>
        <w:pStyle w:val="ListBullet"/>
        <w:keepNext/>
        <w:spacing w:after="40"/>
      </w:pPr>
      <w:r>
        <w:t>Methodology and legal framework sections of the Stage 1 evaluation report.</w:t>
      </w:r>
    </w:p>
    <w:p>
      <w:pPr>
        <w:pStyle w:val="ListBullet"/>
        <w:keepNext/>
        <w:spacing w:after="40"/>
      </w:pPr>
      <w:r>
        <w:t>Framework sections of the Stage 2 discussion paper.</w:t>
      </w:r>
    </w:p>
    <w:p>
      <w:pPr>
        <w:pStyle w:val="ListBullet"/>
        <w:keepNext/>
        <w:spacing w:after="40"/>
      </w:pPr>
      <w:r>
        <w:t>Draft and final Contributions Plan text (Word), with written sign-off of the final plan.</w:t>
      </w:r>
    </w:p>
    <w:p>
      <w:pPr>
        <w:pStyle w:val="ListBullet"/>
        <w:spacing w:after="40"/>
      </w:pPr>
      <w:r>
        <w:t>Legal and procedural content of the Staff Contributions Administration Guide (Word).</w:t>
      </w:r>
    </w:p>
    <w:p>
      <w:pPr>
        <w:keepNext/>
        <w:spacing w:before="200"/>
      </w:pPr>
      <w:r>
        <w:rPr>
          <w:b/>
          <w:sz w:val="24"/>
        </w:rPr>
        <w:t>5. Program</w:t>
      </w:r>
    </w:p>
    <w:p>
      <w:r>
        <w:t>Commencement November 2026 (anticipated). Stage 1 report within 4 weeks (early December 2026); Stage 2 discussion paper within 8 weeks (mid to late January 2027, allowing for the Christmas shutdown); draft plan within 14 weeks (about late February 2027); exhibition and Council reporting March to April 2027; final plan and Administration Guide within 26 weeks (May 2027).</w:t>
      </w:r>
    </w:p>
    <w:p>
      <w:pPr>
        <w:keepNext/>
        <w:spacing w:before="200"/>
      </w:pPr>
      <w:r>
        <w:rPr>
          <w:b/>
          <w:sz w:val="24"/>
        </w:rPr>
        <w:t>6. Information provided</w:t>
      </w:r>
    </w:p>
    <w:p>
      <w:pPr>
        <w:pStyle w:val="ListBullet"/>
        <w:keepNext/>
        <w:spacing w:after="40"/>
      </w:pPr>
      <w:r>
        <w:t>Council's RFQ documents (RFQ, response form, WHS requirements and draft Minor Consultancy Contract), which JCE will forward to you on request.</w:t>
      </w:r>
    </w:p>
    <w:p>
      <w:pPr>
        <w:pStyle w:val="ListBullet"/>
        <w:keepNext/>
        <w:spacing w:after="40"/>
      </w:pPr>
      <w:r>
        <w:t>The Mid-Western Regional Contributions Plan 2019 (Council's website).</w:t>
      </w:r>
    </w:p>
    <w:p>
      <w:pPr>
        <w:pStyle w:val="ListBullet"/>
        <w:spacing w:after="40"/>
      </w:pPr>
      <w:r>
        <w:t>JCE has asked Council to confirm it will provide at commencement: the 2019 Plan works schedule and cost model in editable form, the contributions register, population and dwelling forecasts, the draft OSOM / Heavy Vehicle Contributions Plan and haulage data, and any parking study and land values. Price on the basis that Council provides these; list anything you would need to prepare yourself.</w:t>
      </w:r>
    </w:p>
    <w:p>
      <w:pPr>
        <w:keepNext/>
        <w:spacing w:before="200"/>
      </w:pPr>
      <w:r>
        <w:rPr>
          <w:b/>
          <w:sz w:val="24"/>
        </w:rPr>
        <w:t>7. Insurance and head contract terms</w:t>
      </w:r>
    </w:p>
    <w:p>
      <w:pPr>
        <w:keepNext/>
      </w:pPr>
      <w:r>
        <w:t>Council's RFQ and draft Minor Consultancy Contract require the following. Please state your current limits and attach certificates of currency. If you hold less, say so in your quotation.</w:t>
      </w:r>
    </w:p>
    <w:p>
      <w:pPr>
        <w:pStyle w:val="ListBullet"/>
        <w:keepNext/>
        <w:spacing w:after="40"/>
      </w:pPr>
      <w:r>
        <w:t>Public liability insurance of at least $20 million (Council's contract requires $20 million until Completion).</w:t>
      </w:r>
    </w:p>
    <w:p>
      <w:pPr>
        <w:pStyle w:val="ListBullet"/>
        <w:keepNext/>
        <w:spacing w:after="40"/>
      </w:pPr>
      <w:r>
        <w:t>Professional indemnity insurance: Council's draft contract (Schedule 1, Item 10(c)) sets a default of $10 million for subconsultants where no lower amount is stated, held for seven years after Completion, with at least one automatic reinstatement. JCE has asked Council whether it will accept a lower level (for example $5 million). Please state the level you hold now.</w:t>
      </w:r>
    </w:p>
    <w:p>
      <w:pPr>
        <w:pStyle w:val="ListBullet"/>
        <w:spacing w:after="40"/>
      </w:pPr>
      <w:r>
        <w:t>Workers compensation insurance as required by law.</w:t>
      </w:r>
    </w:p>
    <w:p>
      <w:pPr>
        <w:keepNext/>
      </w:pPr>
      <w:r>
        <w:t>Head contract terms that will flow down to you:</w:t>
      </w:r>
    </w:p>
    <w:p>
      <w:pPr>
        <w:pStyle w:val="ListBullet"/>
        <w:keepNext/>
        <w:spacing w:after="40"/>
      </w:pPr>
      <w:r>
        <w:t>Council must approve each subconsultant before engagement (clause 5.2) and may direct novation of the subcontract to Council (clause 5.3).</w:t>
      </w:r>
    </w:p>
    <w:p>
      <w:pPr>
        <w:pStyle w:val="ListBullet"/>
        <w:keepNext/>
        <w:spacing w:after="40"/>
      </w:pPr>
      <w:r>
        <w:t>Proportionate liability legislation is excluded under the head contract (clause 5.6) and must be excluded in subcontracts.</w:t>
      </w:r>
    </w:p>
    <w:p>
      <w:pPr>
        <w:pStyle w:val="ListBullet"/>
        <w:keepNext/>
        <w:spacing w:after="40"/>
      </w:pPr>
      <w:r>
        <w:t>All IP in the deliverables vests in Council (clause 4).</w:t>
      </w:r>
    </w:p>
    <w:p>
      <w:pPr>
        <w:pStyle w:val="ListBullet"/>
        <w:keepNext/>
        <w:spacing w:after="40"/>
      </w:pPr>
      <w:r>
        <w:t>Payment is by milestone on Completion of each stage (Item 4). Variation pricing has a nil profit and overhead margin (Item 9).</w:t>
      </w:r>
    </w:p>
    <w:p>
      <w:pPr>
        <w:pStyle w:val="ListBullet"/>
        <w:spacing w:after="40"/>
      </w:pPr>
      <w:r>
        <w:t>WHS: Council's WHS702 (Medium Risk Work) requirements apply; you may need to complete Council's Contractor WHS Induction.</w:t>
      </w:r>
    </w:p>
    <w:p>
      <w:pPr>
        <w:keepNext/>
        <w:spacing w:before="200"/>
      </w:pPr>
      <w:r>
        <w:rPr>
          <w:b/>
          <w:sz w:val="24"/>
        </w:rPr>
        <w:t>8. Independence and conflicts of interest</w:t>
      </w:r>
    </w:p>
    <w:p>
      <w:pPr>
        <w:keepNext/>
      </w:pPr>
      <w:r>
        <w:t>Contributions plans set the charges developers and industry pay, so Council will expect an independent team. Please declare:</w:t>
      </w:r>
    </w:p>
    <w:p>
      <w:pPr>
        <w:pStyle w:val="ListBullet"/>
        <w:keepNext/>
        <w:spacing w:after="40"/>
      </w:pPr>
      <w:r>
        <w:t>any current engagement, or engagement in the last two years, by developers, landowners, renewable energy proponents or extractive industry operators in the Mid-Western Regional LGA, including development applications you are acting on;</w:t>
      </w:r>
    </w:p>
    <w:p>
      <w:pPr>
        <w:pStyle w:val="ListBullet"/>
        <w:keepNext/>
        <w:spacing w:after="40"/>
      </w:pPr>
      <w:r>
        <w:t>any other interest that could conflict, or be seen to conflict, with this work; and</w:t>
      </w:r>
    </w:p>
    <w:p>
      <w:pPr>
        <w:pStyle w:val="ListBullet"/>
        <w:spacing w:after="40"/>
      </w:pPr>
      <w:r>
        <w:t>how you would manage any such conflict.</w:t>
      </w:r>
    </w:p>
    <w:p>
      <w:r>
        <w:t>A declared interest will not by itself rule out your quotation. JCE needs to know so it can make the declaration Council requires.</w:t>
      </w:r>
    </w:p>
    <w:p>
      <w:pPr>
        <w:keepNext/>
        <w:spacing w:before="200"/>
      </w:pPr>
      <w:r>
        <w:rPr>
          <w:b/>
          <w:sz w:val="24"/>
        </w:rPr>
        <w:t>9. Pricing schedule</w:t>
      </w:r>
    </w:p>
    <w:p>
      <w:pPr>
        <w:keepNext/>
      </w:pPr>
      <w:r>
        <w:t>Please complete the schedule (or the attached quote return form). All amounts exclude GST. Lump sums include all your costs unless listed as disbursements.</w:t>
      </w:r>
    </w:p>
    <w:tbl>
      <w:tblPr>
        <w:tblStyle w:val="TableGrid"/>
        <w:tblW w:type="auto" w:w="0"/>
        <w:jc w:val="center"/>
        <w:tblLayout w:type="fixed"/>
        <w:tblLook w:firstColumn="1" w:firstRow="1" w:lastColumn="0" w:lastRow="0" w:noHBand="0" w:noVBand="1" w:val="04A0"/>
        <w:tblLayout w:type="fixed"/>
      </w:tblPr>
      <w:tblGrid>
        <w:gridCol w:w="793"/>
        <w:gridCol w:w="6804"/>
        <w:gridCol w:w="2041"/>
      </w:tblGrid>
      <w:tr>
        <w:trPr>
          <w:cantSplit/>
        </w:trPr>
        <w:tc>
          <w:tcPr>
            <w:tcW w:type="dxa" w:w="794"/>
            <w:shd w:val="clear" w:color="auto" w:fill="1A1A1A"/>
          </w:tcPr>
          <w:p>
            <w:pPr>
              <w:keepNext/>
              <w:spacing w:after="20"/>
            </w:pPr>
            <w:r/>
            <w:r>
              <w:rPr>
                <w:b/>
                <w:color w:val="FFFFFF"/>
                <w:sz w:val="18"/>
              </w:rPr>
              <w:t>Item</w:t>
            </w:r>
          </w:p>
        </w:tc>
        <w:tc>
          <w:tcPr>
            <w:tcW w:type="dxa" w:w="6803"/>
            <w:shd w:val="clear" w:color="auto" w:fill="1A1A1A"/>
          </w:tcPr>
          <w:p>
            <w:pPr>
              <w:keepNext/>
              <w:spacing w:after="20"/>
            </w:pPr>
            <w:r/>
            <w:r>
              <w:rPr>
                <w:b/>
                <w:color w:val="FFFFFF"/>
                <w:sz w:val="18"/>
              </w:rPr>
              <w:t>Description</w:t>
            </w:r>
          </w:p>
        </w:tc>
        <w:tc>
          <w:tcPr>
            <w:tcW w:type="dxa" w:w="2041"/>
            <w:shd w:val="clear" w:color="auto" w:fill="1A1A1A"/>
          </w:tcPr>
          <w:p>
            <w:pPr>
              <w:keepNext/>
              <w:spacing w:after="20"/>
            </w:pPr>
            <w:r/>
            <w:r>
              <w:rPr>
                <w:b/>
                <w:color w:val="FFFFFF"/>
                <w:sz w:val="18"/>
              </w:rPr>
              <w:t>Lump sum (excl. GST)</w:t>
            </w:r>
          </w:p>
        </w:tc>
      </w:tr>
      <w:tr>
        <w:trPr>
          <w:cantSplit/>
        </w:trPr>
        <w:tc>
          <w:tcPr>
            <w:tcW w:type="dxa" w:w="794"/>
          </w:tcPr>
          <w:p>
            <w:pPr>
              <w:keepNext/>
              <w:spacing w:after="20"/>
            </w:pPr>
            <w:r/>
            <w:r>
              <w:rPr>
                <w:sz w:val="18"/>
              </w:rPr>
              <w:t>1</w:t>
            </w:r>
          </w:p>
        </w:tc>
        <w:tc>
          <w:tcPr>
            <w:tcW w:type="dxa" w:w="6803"/>
          </w:tcPr>
          <w:p>
            <w:pPr>
              <w:keepNext/>
              <w:spacing w:after="20"/>
            </w:pPr>
            <w:r/>
            <w:r>
              <w:rPr>
                <w:sz w:val="18"/>
              </w:rPr>
              <w:t>Stage 1: methodology and legal framework evaluation (sections of the evaluation report)</w:t>
            </w:r>
          </w:p>
        </w:tc>
        <w:tc>
          <w:tcPr>
            <w:tcW w:type="dxa" w:w="2041"/>
          </w:tcPr>
          <w:p>
            <w:pPr>
              <w:keepNext/>
              <w:spacing w:after="20"/>
            </w:pPr>
            <w:r/>
            <w:r>
              <w:rPr>
                <w:sz w:val="18"/>
              </w:rPr>
              <w:t>$</w:t>
            </w:r>
          </w:p>
        </w:tc>
      </w:tr>
      <w:tr>
        <w:trPr>
          <w:cantSplit/>
        </w:trPr>
        <w:tc>
          <w:tcPr>
            <w:tcW w:type="dxa" w:w="794"/>
          </w:tcPr>
          <w:p>
            <w:pPr>
              <w:keepNext/>
              <w:spacing w:after="20"/>
            </w:pPr>
            <w:r/>
            <w:r>
              <w:rPr>
                <w:sz w:val="18"/>
              </w:rPr>
              <w:t>2</w:t>
            </w:r>
          </w:p>
        </w:tc>
        <w:tc>
          <w:tcPr>
            <w:tcW w:type="dxa" w:w="6803"/>
          </w:tcPr>
          <w:p>
            <w:pPr>
              <w:keepNext/>
              <w:spacing w:after="20"/>
            </w:pPr>
            <w:r/>
            <w:r>
              <w:rPr>
                <w:sz w:val="18"/>
              </w:rPr>
              <w:t>Stage 2: framework, nexus and apportionment approach (sections of the discussion paper)</w:t>
            </w:r>
          </w:p>
        </w:tc>
        <w:tc>
          <w:tcPr>
            <w:tcW w:type="dxa" w:w="2041"/>
          </w:tcPr>
          <w:p>
            <w:pPr>
              <w:keepNext/>
              <w:spacing w:after="20"/>
            </w:pPr>
            <w:r/>
            <w:r>
              <w:rPr>
                <w:sz w:val="18"/>
              </w:rPr>
              <w:t>$</w:t>
            </w:r>
          </w:p>
        </w:tc>
      </w:tr>
      <w:tr>
        <w:trPr>
          <w:cantSplit/>
        </w:trPr>
        <w:tc>
          <w:tcPr>
            <w:tcW w:type="dxa" w:w="794"/>
          </w:tcPr>
          <w:p>
            <w:pPr>
              <w:keepNext/>
              <w:spacing w:after="20"/>
            </w:pPr>
            <w:r/>
            <w:r>
              <w:rPr>
                <w:sz w:val="18"/>
              </w:rPr>
              <w:t>3</w:t>
            </w:r>
          </w:p>
        </w:tc>
        <w:tc>
          <w:tcPr>
            <w:tcW w:type="dxa" w:w="6803"/>
          </w:tcPr>
          <w:p>
            <w:pPr>
              <w:keepNext/>
              <w:spacing w:after="20"/>
            </w:pPr>
            <w:r/>
            <w:r>
              <w:rPr>
                <w:sz w:val="18"/>
              </w:rPr>
              <w:t>Stage 3: drafting of the Contributions Plan</w:t>
            </w:r>
          </w:p>
        </w:tc>
        <w:tc>
          <w:tcPr>
            <w:tcW w:type="dxa" w:w="2041"/>
          </w:tcPr>
          <w:p>
            <w:pPr>
              <w:keepNext/>
              <w:spacing w:after="20"/>
            </w:pPr>
            <w:r/>
            <w:r>
              <w:rPr>
                <w:sz w:val="18"/>
              </w:rPr>
              <w:t>$</w:t>
            </w:r>
          </w:p>
        </w:tc>
      </w:tr>
      <w:tr>
        <w:trPr>
          <w:cantSplit/>
        </w:trPr>
        <w:tc>
          <w:tcPr>
            <w:tcW w:type="dxa" w:w="794"/>
          </w:tcPr>
          <w:p>
            <w:pPr>
              <w:keepNext/>
              <w:spacing w:after="20"/>
            </w:pPr>
            <w:r/>
            <w:r>
              <w:rPr>
                <w:sz w:val="18"/>
              </w:rPr>
              <w:t>4</w:t>
            </w:r>
          </w:p>
        </w:tc>
        <w:tc>
          <w:tcPr>
            <w:tcW w:type="dxa" w:w="6803"/>
          </w:tcPr>
          <w:p>
            <w:pPr>
              <w:keepNext/>
              <w:spacing w:after="20"/>
            </w:pPr>
            <w:r/>
            <w:r>
              <w:rPr>
                <w:sz w:val="18"/>
              </w:rPr>
              <w:t>Stage 3: exhibition support on planning matters and sign-off of the final plan</w:t>
            </w:r>
          </w:p>
        </w:tc>
        <w:tc>
          <w:tcPr>
            <w:tcW w:type="dxa" w:w="2041"/>
          </w:tcPr>
          <w:p>
            <w:pPr>
              <w:keepNext/>
              <w:spacing w:after="20"/>
            </w:pPr>
            <w:r/>
            <w:r>
              <w:rPr>
                <w:sz w:val="18"/>
              </w:rPr>
              <w:t>$</w:t>
            </w:r>
          </w:p>
        </w:tc>
      </w:tr>
      <w:tr>
        <w:trPr>
          <w:cantSplit/>
        </w:trPr>
        <w:tc>
          <w:tcPr>
            <w:tcW w:type="dxa" w:w="794"/>
          </w:tcPr>
          <w:p>
            <w:pPr>
              <w:keepNext/>
              <w:spacing w:after="20"/>
            </w:pPr>
            <w:r/>
            <w:r>
              <w:rPr>
                <w:sz w:val="18"/>
              </w:rPr>
              <w:t>5</w:t>
            </w:r>
          </w:p>
        </w:tc>
        <w:tc>
          <w:tcPr>
            <w:tcW w:type="dxa" w:w="6803"/>
          </w:tcPr>
          <w:p>
            <w:pPr>
              <w:keepNext/>
              <w:spacing w:after="20"/>
            </w:pPr>
            <w:r/>
            <w:r>
              <w:rPr>
                <w:sz w:val="18"/>
              </w:rPr>
              <w:t>Stage 3: Administration Guide, legal and procedural content</w:t>
            </w:r>
          </w:p>
        </w:tc>
        <w:tc>
          <w:tcPr>
            <w:tcW w:type="dxa" w:w="2041"/>
          </w:tcPr>
          <w:p>
            <w:pPr>
              <w:keepNext/>
              <w:spacing w:after="20"/>
            </w:pPr>
            <w:r/>
            <w:r>
              <w:rPr>
                <w:sz w:val="18"/>
              </w:rPr>
              <w:t>$</w:t>
            </w:r>
          </w:p>
        </w:tc>
      </w:tr>
      <w:tr>
        <w:trPr>
          <w:cantSplit/>
        </w:trPr>
        <w:tc>
          <w:tcPr>
            <w:tcW w:type="dxa" w:w="794"/>
          </w:tcPr>
          <w:p>
            <w:pPr>
              <w:keepNext/>
              <w:spacing w:after="20"/>
            </w:pPr>
            <w:r/>
            <w:r>
              <w:rPr>
                <w:sz w:val="18"/>
              </w:rPr>
              <w:t>6</w:t>
            </w:r>
          </w:p>
        </w:tc>
        <w:tc>
          <w:tcPr>
            <w:tcW w:type="dxa" w:w="6803"/>
          </w:tcPr>
          <w:p>
            <w:pPr>
              <w:keepNext/>
              <w:spacing w:after="20"/>
            </w:pPr>
            <w:r/>
            <w:r>
              <w:rPr>
                <w:sz w:val="18"/>
              </w:rPr>
              <w:t>Up to 6 Teams project meetings and the virtual briefing</w:t>
            </w:r>
          </w:p>
        </w:tc>
        <w:tc>
          <w:tcPr>
            <w:tcW w:type="dxa" w:w="2041"/>
          </w:tcPr>
          <w:p>
            <w:pPr>
              <w:keepNext/>
              <w:spacing w:after="20"/>
            </w:pPr>
            <w:r/>
            <w:r>
              <w:rPr>
                <w:sz w:val="18"/>
              </w:rPr>
              <w:t>$</w:t>
            </w:r>
          </w:p>
        </w:tc>
      </w:tr>
      <w:tr>
        <w:trPr>
          <w:cantSplit/>
        </w:trPr>
        <w:tc>
          <w:tcPr>
            <w:tcW w:type="dxa" w:w="794"/>
          </w:tcPr>
          <w:p>
            <w:pPr>
              <w:keepNext/>
              <w:spacing w:after="20"/>
            </w:pPr>
            <w:r/>
            <w:r>
              <w:rPr>
                <w:sz w:val="18"/>
              </w:rPr>
              <w:t>7</w:t>
            </w:r>
          </w:p>
        </w:tc>
        <w:tc>
          <w:tcPr>
            <w:tcW w:type="dxa" w:w="6803"/>
          </w:tcPr>
          <w:p>
            <w:pPr>
              <w:keepNext/>
              <w:spacing w:after="20"/>
            </w:pPr>
            <w:r/>
            <w:r>
              <w:rPr>
                <w:sz w:val="18"/>
              </w:rPr>
              <w:t>Four revisions of your sections (state if included in items 1 to 5)</w:t>
            </w:r>
          </w:p>
        </w:tc>
        <w:tc>
          <w:tcPr>
            <w:tcW w:type="dxa" w:w="2041"/>
          </w:tcPr>
          <w:p>
            <w:pPr>
              <w:keepNext/>
              <w:spacing w:after="20"/>
            </w:pPr>
            <w:r/>
            <w:r>
              <w:rPr>
                <w:sz w:val="18"/>
              </w:rPr>
              <w:t>$</w:t>
            </w:r>
          </w:p>
        </w:tc>
      </w:tr>
      <w:tr>
        <w:trPr>
          <w:cantSplit/>
        </w:trPr>
        <w:tc>
          <w:tcPr>
            <w:tcW w:type="dxa" w:w="794"/>
          </w:tcPr>
          <w:p>
            <w:pPr>
              <w:keepNext/>
              <w:spacing w:after="20"/>
            </w:pPr>
            <w:r/>
            <w:r>
              <w:rPr>
                <w:sz w:val="18"/>
              </w:rPr>
              <w:t>8</w:t>
            </w:r>
          </w:p>
        </w:tc>
        <w:tc>
          <w:tcPr>
            <w:tcW w:type="dxa" w:w="6803"/>
          </w:tcPr>
          <w:p>
            <w:pPr>
              <w:keepNext/>
              <w:spacing w:after="20"/>
            </w:pPr>
            <w:r/>
            <w:r>
              <w:rPr>
                <w:sz w:val="18"/>
              </w:rPr>
              <w:t>Disbursements (list)</w:t>
            </w:r>
          </w:p>
        </w:tc>
        <w:tc>
          <w:tcPr>
            <w:tcW w:type="dxa" w:w="2041"/>
          </w:tcPr>
          <w:p>
            <w:pPr>
              <w:keepNext/>
              <w:spacing w:after="20"/>
            </w:pPr>
            <w:r/>
            <w:r>
              <w:rPr>
                <w:sz w:val="18"/>
              </w:rPr>
              <w:t>$</w:t>
            </w:r>
          </w:p>
        </w:tc>
      </w:tr>
      <w:tr>
        <w:trPr>
          <w:cantSplit/>
        </w:trPr>
        <w:tc>
          <w:tcPr>
            <w:tcW w:type="dxa" w:w="794"/>
          </w:tcPr>
          <w:p>
            <w:pPr>
              <w:keepNext w:val="0"/>
              <w:spacing w:after="20"/>
            </w:pPr>
            <w:r/>
            <w:r>
              <w:rPr>
                <w:b/>
                <w:sz w:val="18"/>
              </w:rPr>
            </w:r>
          </w:p>
        </w:tc>
        <w:tc>
          <w:tcPr>
            <w:tcW w:type="dxa" w:w="6803"/>
          </w:tcPr>
          <w:p>
            <w:pPr>
              <w:keepNext w:val="0"/>
              <w:spacing w:after="20"/>
            </w:pPr>
            <w:r/>
            <w:r>
              <w:rPr>
                <w:b/>
                <w:sz w:val="18"/>
              </w:rPr>
              <w:t>Total lump sum (excl. GST)</w:t>
            </w:r>
          </w:p>
        </w:tc>
        <w:tc>
          <w:tcPr>
            <w:tcW w:type="dxa" w:w="2041"/>
          </w:tcPr>
          <w:p>
            <w:pPr>
              <w:keepNext w:val="0"/>
              <w:spacing w:after="20"/>
            </w:pPr>
            <w:r/>
            <w:r>
              <w:rPr>
                <w:b/>
                <w:sz w:val="18"/>
              </w:rPr>
              <w:t>$</w:t>
            </w:r>
          </w:p>
        </w:tc>
      </w:tr>
    </w:tbl>
    <w:p>
      <w:pPr>
        <w:spacing w:after="40"/>
      </w:pPr>
    </w:p>
    <w:p>
      <w:r>
        <w:t>Optional item (price separately, not in the total): (a) attendance in person at the Mudgee briefing; (b) a second public exhibition after material changes by Council.</w:t>
      </w:r>
    </w:p>
    <w:p>
      <w:pPr>
        <w:keepNext/>
      </w:pPr>
      <w:r>
        <w:t>Hourly rates for variations (excl. GST):</w:t>
      </w:r>
    </w:p>
    <w:tbl>
      <w:tblPr>
        <w:tblStyle w:val="TableGrid"/>
        <w:tblW w:type="auto" w:w="0"/>
        <w:jc w:val="center"/>
        <w:tblLayout w:type="fixed"/>
        <w:tblLook w:firstColumn="1" w:firstRow="1" w:lastColumn="0" w:lastRow="0" w:noHBand="0" w:noVBand="1" w:val="04A0"/>
        <w:tblLayout w:type="fixed"/>
      </w:tblPr>
      <w:tblGrid>
        <w:gridCol w:w="3685"/>
        <w:gridCol w:w="3685"/>
        <w:gridCol w:w="2268"/>
      </w:tblGrid>
      <w:tr>
        <w:trPr>
          <w:cantSplit/>
        </w:trPr>
        <w:tc>
          <w:tcPr>
            <w:tcW w:type="dxa" w:w="3685"/>
            <w:shd w:val="clear" w:color="auto" w:fill="1A1A1A"/>
          </w:tcPr>
          <w:p>
            <w:pPr>
              <w:keepNext/>
              <w:spacing w:after="20"/>
            </w:pPr>
            <w:r/>
            <w:r>
              <w:rPr>
                <w:b/>
                <w:color w:val="FFFFFF"/>
                <w:sz w:val="18"/>
              </w:rPr>
              <w:t>Role</w:t>
            </w:r>
          </w:p>
        </w:tc>
        <w:tc>
          <w:tcPr>
            <w:tcW w:type="dxa" w:w="3685"/>
            <w:shd w:val="clear" w:color="auto" w:fill="1A1A1A"/>
          </w:tcPr>
          <w:p>
            <w:pPr>
              <w:keepNext/>
              <w:spacing w:after="20"/>
            </w:pPr>
            <w:r/>
            <w:r>
              <w:rPr>
                <w:b/>
                <w:color w:val="FFFFFF"/>
                <w:sz w:val="18"/>
              </w:rPr>
              <w:t>Name</w:t>
            </w:r>
          </w:p>
        </w:tc>
        <w:tc>
          <w:tcPr>
            <w:tcW w:type="dxa" w:w="2268"/>
            <w:shd w:val="clear" w:color="auto" w:fill="1A1A1A"/>
          </w:tcPr>
          <w:p>
            <w:pPr>
              <w:keepNext/>
              <w:spacing w:after="20"/>
            </w:pPr>
            <w:r/>
            <w:r>
              <w:rPr>
                <w:b/>
                <w:color w:val="FFFFFF"/>
                <w:sz w:val="18"/>
              </w:rPr>
              <w:t>Rate ($/hr excl. GST)</w:t>
            </w:r>
          </w:p>
        </w:tc>
      </w:tr>
      <w:tr>
        <w:trPr>
          <w:cantSplit/>
        </w:trPr>
        <w:tc>
          <w:tcPr>
            <w:tcW w:type="dxa" w:w="3685"/>
          </w:tcPr>
          <w:p>
            <w:pPr>
              <w:keepNext/>
              <w:spacing w:after="20"/>
            </w:pPr>
            <w:r/>
            <w:r>
              <w:rPr>
                <w:sz w:val="18"/>
              </w:rPr>
              <w:t>Director / principal 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spacing w:after="20"/>
            </w:pPr>
            <w:r/>
            <w:r>
              <w:rPr>
                <w:sz w:val="18"/>
              </w:rPr>
              <w:t>Senior 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spacing w:after="20"/>
            </w:pPr>
            <w:r/>
            <w:r>
              <w:rPr>
                <w:sz w:val="18"/>
              </w:rPr>
              <w:t>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val="0"/>
              <w:spacing w:after="20"/>
            </w:pPr>
            <w:r/>
            <w:r>
              <w:rPr>
                <w:sz w:val="18"/>
              </w:rPr>
              <w:t>Other (specify)</w:t>
            </w:r>
          </w:p>
        </w:tc>
        <w:tc>
          <w:tcPr>
            <w:tcW w:type="dxa" w:w="3685"/>
          </w:tcPr>
          <w:p>
            <w:pPr>
              <w:keepNext w:val="0"/>
              <w:spacing w:after="20"/>
            </w:pPr>
            <w:r/>
            <w:r>
              <w:rPr>
                <w:sz w:val="18"/>
              </w:rPr>
            </w:r>
          </w:p>
        </w:tc>
        <w:tc>
          <w:tcPr>
            <w:tcW w:type="dxa" w:w="2268"/>
          </w:tcPr>
          <w:p>
            <w:pPr>
              <w:keepNext w:val="0"/>
              <w:spacing w:after="20"/>
            </w:pPr>
            <w:r/>
            <w:r>
              <w:rPr>
                <w:sz w:val="18"/>
              </w:rPr>
              <w:t>$</w:t>
            </w:r>
          </w:p>
        </w:tc>
      </w:tr>
    </w:tbl>
    <w:p>
      <w:pPr>
        <w:spacing w:after="40"/>
      </w:pPr>
    </w:p>
    <w:p>
      <w:r>
        <w:t>Please list your exclusions and assumptions. Your quotation is to remain valid for 90 days from 19/10/2026.</w:t>
      </w:r>
    </w:p>
    <w:p>
      <w:pPr>
        <w:keepNext/>
        <w:spacing w:before="200"/>
      </w:pPr>
      <w:r>
        <w:rPr>
          <w:b/>
          <w:sz w:val="24"/>
        </w:rPr>
        <w:t>10. Conditions of this request</w:t>
      </w:r>
    </w:p>
    <w:p>
      <w:pPr>
        <w:pStyle w:val="ListBullet"/>
        <w:keepNext/>
        <w:spacing w:after="40"/>
      </w:pPr>
      <w:r>
        <w:t>This is a request for quotation only. It is not an offer of engagement. Any engagement depends on JCE being awarded the work by Council and on Council approving you as a subconsultant.</w:t>
      </w:r>
    </w:p>
    <w:p>
      <w:pPr>
        <w:pStyle w:val="ListBullet"/>
        <w:keepNext/>
        <w:spacing w:after="40"/>
      </w:pPr>
      <w:r>
        <w:t>If JCE is awarded the work, JCE will engage you on a written subconsultant agreement consistent with Council's contract, including the head contract terms listed above.</w:t>
      </w:r>
    </w:p>
    <w:p>
      <w:pPr>
        <w:pStyle w:val="ListBullet"/>
        <w:keepNext/>
        <w:spacing w:after="40"/>
      </w:pPr>
      <w:r>
        <w:t>JCE will not pay for the preparation of quotations. Quotations are to remain valid for 90 days from 19/10/2026.</w:t>
      </w:r>
    </w:p>
    <w:p>
      <w:pPr>
        <w:pStyle w:val="ListBullet"/>
        <w:spacing w:after="40"/>
      </w:pPr>
      <w:r>
        <w:t>This request and Council's documents are confidential; use them only to prepare your quotation. JCE will keep your quotation confidential and use it only for its response to Council. Please tell JCE if you are also quoting to another tenderer or directly to Council.</w:t>
      </w:r>
    </w:p>
    <w:p>
      <w:pPr>
        <w:keepNext/>
        <w:spacing w:before="200"/>
      </w:pPr>
      <w:r>
        <w:rPr>
          <w:b/>
          <w:sz w:val="24"/>
        </w:rPr>
        <w:t>11. Submission</w:t>
      </w:r>
    </w:p>
    <w:p>
      <w:pPr>
        <w:keepNext/>
      </w:pPr>
      <w:r>
        <w:t>Please email your quotation to Jayden Callen at jayden@jceinfrastructure.com.au by 12:00pm Thursday 15/10/2026. Council's RFQ closes at 2:00pm Monday 19/10/2026, so JCE needs your price by the due date.</w:t>
      </w:r>
    </w:p>
    <w:p>
      <w:pPr>
        <w:pStyle w:val="ListBullet"/>
        <w:keepNext/>
        <w:spacing w:after="40"/>
      </w:pPr>
      <w:r>
        <w:t>the completed pricing schedule or quote return form (lump sums, rates, disbursements, exclusions and assumptions);</w:t>
      </w:r>
    </w:p>
    <w:p>
      <w:pPr>
        <w:pStyle w:val="ListBullet"/>
        <w:keepNext/>
        <w:spacing w:after="40"/>
      </w:pPr>
      <w:r>
        <w:t>your insurance limits and certificates of currency;</w:t>
      </w:r>
    </w:p>
    <w:p>
      <w:pPr>
        <w:pStyle w:val="ListBullet"/>
        <w:keepNext/>
        <w:spacing w:after="40"/>
      </w:pPr>
      <w:r>
        <w:t>your conflict of interest declaration;</w:t>
      </w:r>
    </w:p>
    <w:p>
      <w:pPr>
        <w:pStyle w:val="ListBullet"/>
        <w:keepNext/>
        <w:spacing w:after="40"/>
      </w:pPr>
      <w:r>
        <w:t>the named staff, CVs and two to three NSW contributions plans with council referees (section 2);</w:t>
      </w:r>
    </w:p>
    <w:p>
      <w:pPr>
        <w:pStyle w:val="ListBullet"/>
        <w:keepNext/>
        <w:spacing w:after="40"/>
      </w:pPr>
      <w:r>
        <w:t>your consent to be named;</w:t>
      </w:r>
    </w:p>
    <w:p>
      <w:pPr>
        <w:pStyle w:val="ListBullet"/>
        <w:keepNext/>
        <w:spacing w:after="40"/>
      </w:pPr>
      <w:r>
        <w:t>confirmation that your quotation is valid for 90 days from 19/10/2026.</w:t>
      </w:r>
    </w:p>
    <w:p>
      <w:pPr>
        <w:keepNext/>
      </w:pPr>
      <w:r>
        <w:t>Please call me on 0477 207 027 to discuss the scope or timing.</w:t>
      </w:r>
    </w:p>
    <w:p>
      <w:pPr>
        <w:keepNext/>
      </w:pPr>
      <w:r>
        <w:t>Yours faithfully,</w:t>
      </w:r>
    </w:p>
    <w:p>
      <w:pPr>
        <w:keepNext/>
      </w:pPr>
      <w:r>
        <w:rPr>
          <w:b/>
        </w:rPr>
        <w:t>Jayden Callen</w:t>
      </w:r>
    </w:p>
    <w:p>
      <w:r>
        <w:t>Director, JCE Infrastructure Pty Ltd  |  ABN 29 699 165 663  |  0477 207 027  |  jayden@jceinfrastructure.com.au</w:t>
      </w:r>
    </w:p>
    <w:sectPr w:rsidR="00FC693F" w:rsidRPr="0006063C" w:rsidSect="00034616">
      <w:head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2"/>
      </w:rPr>
      <w:t>JCE Infrastructure Pty Ltd</w:t>
    </w:r>
    <w:r>
      <w:rPr>
        <w:color w:val="C9A227"/>
        <w:sz w:val="16"/>
      </w:rPr>
      <w:t xml:space="preserve">    Civil, hydraulic and infrastructure engineering</w:t>
    </w:r>
  </w:p>
  <w:p>
    <w:pPr>
      <w:pBdr>
        <w:bottom w:val="single" w:sz="10" w:space="1" w:color="C9A227"/>
      </w:pBdr>
    </w:pPr>
    <w:r>
      <w:rPr>
        <w:color w:val="555555"/>
        <w:sz w:val="16"/>
      </w:rPr>
      <w:t>ABN 29 699 165 663  |  0477 207 027  |  jayden@jceinfrastructure.com.au  |  jceinfrastructure.com.au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