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offers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at least three similar projects in the last five years with referees. JCE has none of its own; use the data capture and valuation partners' projects from their quotes (due 21/10/2026), labelled as the partner's projects, with referees who have agreed to be contacted.]</w:t>
      </w:r>
    </w:p>
    <w:p>
      <w:r>
        <w:rPr>
          <w:i w:val="0"/>
        </w:rPr>
        <w:t>Related capability project (supports capability only; it is a private farm drainage job, not one of the three similar council transport-asset projects): Farm drainage works, private rural client (Craig Sullivan): drone photogrammetry survey of the property using RTK-positioned automated flights, processed in Autodesk ReCap Pro to a terrain surface used to design the drainage works. Referee: Craig Sullivan, private client, phone and email [TBC - Jayden, with his consent].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