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b/>
          <w:i w:val="0"/>
          <w:color w:val="000000"/>
          <w:sz w:val="40"/>
        </w:rPr>
        <w:t>FEE PROPOSAL</w:t>
      </w:r>
    </w:p>
    <w:p>
      <w:pPr>
        <w:pBdr>
          <w:bottom w:val="single" w:sz="12" w:space="1" w:color="C9A227"/>
        </w:pBdr>
      </w:pPr>
      <w:r>
        <w:rPr>
          <w:b/>
          <w:i w:val="0"/>
          <w:color w:val="C9A227"/>
          <w:sz w:val="24"/>
        </w:rPr>
        <w:t>Mid-Western Regional Contributions Plan  ·  RFQ MWRCCMS001497</w:t>
      </w:r>
    </w:p>
    <w:tbl>
      <w:tblPr>
        <w:tblStyle w:val="TableGrid"/>
        <w:tblW w:type="auto" w:w="0"/>
        <w:tblLayout w:type="fixed"/>
        <w:tblLook w:firstColumn="1" w:firstRow="1" w:lastColumn="0" w:lastRow="0" w:noHBand="0" w:noVBand="1" w:val="04A0"/>
        <w:tblLayout w:type="fixed"/>
      </w:tblPr>
      <w:tblGrid>
        <w:gridCol w:w="2551"/>
        <w:gridCol w:w="7087"/>
      </w:tblGrid>
      <w:tr>
        <w:tc>
          <w:tcPr>
            <w:tcW w:type="dxa" w:w="2551"/>
            <w:shd w:val="clear" w:color="auto" w:fill="F6EFD6"/>
          </w:tcPr>
          <w:p>
            <w:r/>
            <w:r>
              <w:rPr>
                <w:b/>
                <w:i w:val="0"/>
                <w:sz w:val="18"/>
              </w:rPr>
              <w:t>Proposal no</w:t>
            </w:r>
          </w:p>
        </w:tc>
        <w:tc>
          <w:tcPr>
            <w:tcW w:type="dxa" w:w="7087"/>
          </w:tcPr>
          <w:p>
            <w:r/>
            <w:r>
              <w:rPr>
                <w:b w:val="0"/>
                <w:i w:val="0"/>
                <w:sz w:val="18"/>
              </w:rPr>
              <w:t>FP-[TBC - Jayden]</w:t>
            </w:r>
          </w:p>
        </w:tc>
      </w:tr>
      <w:tr>
        <w:tc>
          <w:tcPr>
            <w:tcW w:type="dxa" w:w="2551"/>
            <w:shd w:val="clear" w:color="auto" w:fill="F6EFD6"/>
          </w:tcPr>
          <w:p>
            <w:r/>
            <w:r>
              <w:rPr>
                <w:b/>
                <w:i w:val="0"/>
                <w:sz w:val="18"/>
              </w:rPr>
              <w:t>Revision</w:t>
            </w:r>
          </w:p>
        </w:tc>
        <w:tc>
          <w:tcPr>
            <w:tcW w:type="dxa" w:w="7087"/>
          </w:tcPr>
          <w:p>
            <w:r/>
            <w:r>
              <w:rPr>
                <w:b w:val="0"/>
                <w:i w:val="0"/>
                <w:sz w:val="18"/>
              </w:rPr>
              <w:t>F (for submission)</w:t>
            </w:r>
          </w:p>
        </w:tc>
      </w:tr>
      <w:tr>
        <w:tc>
          <w:tcPr>
            <w:tcW w:type="dxa" w:w="2551"/>
            <w:shd w:val="clear" w:color="auto" w:fill="F6EFD6"/>
          </w:tcPr>
          <w:p>
            <w:r/>
            <w:r>
              <w:rPr>
                <w:b/>
                <w:i w:val="0"/>
                <w:sz w:val="18"/>
              </w:rPr>
              <w:t>Date</w:t>
            </w:r>
          </w:p>
        </w:tc>
        <w:tc>
          <w:tcPr>
            <w:tcW w:type="dxa" w:w="7087"/>
          </w:tcPr>
          <w:p>
            <w:r/>
            <w:r>
              <w:rPr>
                <w:b w:val="0"/>
                <w:i w:val="0"/>
                <w:sz w:val="18"/>
              </w:rPr>
              <w:t>12/10/2026</w:t>
            </w:r>
          </w:p>
        </w:tc>
      </w:tr>
      <w:tr>
        <w:tc>
          <w:tcPr>
            <w:tcW w:type="dxa" w:w="2551"/>
            <w:shd w:val="clear" w:color="auto" w:fill="F6EFD6"/>
          </w:tcPr>
          <w:p>
            <w:r/>
            <w:r>
              <w:rPr>
                <w:b/>
                <w:i w:val="0"/>
                <w:sz w:val="18"/>
              </w:rPr>
              <w:t>Client</w:t>
            </w:r>
          </w:p>
        </w:tc>
        <w:tc>
          <w:tcPr>
            <w:tcW w:type="dxa" w:w="7087"/>
          </w:tcPr>
          <w:p>
            <w:r/>
            <w:r>
              <w:rPr>
                <w:b w:val="0"/>
                <w:i w:val="0"/>
                <w:sz w:val="18"/>
              </w:rPr>
              <w:t>Mid-Western Regional Council</w:t>
            </w:r>
          </w:p>
        </w:tc>
      </w:tr>
      <w:tr>
        <w:tc>
          <w:tcPr>
            <w:tcW w:type="dxa" w:w="2551"/>
            <w:shd w:val="clear" w:color="auto" w:fill="F6EFD6"/>
          </w:tcPr>
          <w:p>
            <w:r/>
            <w:r>
              <w:rPr>
                <w:b/>
                <w:i w:val="0"/>
                <w:sz w:val="18"/>
              </w:rPr>
              <w:t>Attention</w:t>
            </w:r>
          </w:p>
        </w:tc>
        <w:tc>
          <w:tcPr>
            <w:tcW w:type="dxa" w:w="7087"/>
          </w:tcPr>
          <w:p>
            <w:r/>
            <w:r>
              <w:rPr>
                <w:b w:val="0"/>
                <w:i w:val="0"/>
                <w:sz w:val="18"/>
              </w:rPr>
              <w:t>[TBC - Jayden: contact officer named in the RFQ]</w:t>
            </w:r>
          </w:p>
        </w:tc>
      </w:tr>
      <w:tr>
        <w:tc>
          <w:tcPr>
            <w:tcW w:type="dxa" w:w="2551"/>
            <w:shd w:val="clear" w:color="auto" w:fill="F6EFD6"/>
          </w:tcPr>
          <w:p>
            <w:r/>
            <w:r>
              <w:rPr>
                <w:b/>
                <w:i w:val="0"/>
                <w:sz w:val="18"/>
              </w:rPr>
              <w:t>RFQ</w:t>
            </w:r>
          </w:p>
        </w:tc>
        <w:tc>
          <w:tcPr>
            <w:tcW w:type="dxa" w:w="7087"/>
          </w:tcPr>
          <w:p>
            <w:r/>
            <w:r>
              <w:rPr>
                <w:b w:val="0"/>
                <w:i w:val="0"/>
                <w:sz w:val="18"/>
              </w:rPr>
              <w:t>MWRCCMS001497, closing 2:00pm Monday 19/10/2026 (AEDT)</w:t>
            </w:r>
          </w:p>
        </w:tc>
      </w:tr>
      <w:tr>
        <w:tc>
          <w:tcPr>
            <w:tcW w:type="dxa" w:w="2551"/>
            <w:shd w:val="clear" w:color="auto" w:fill="F6EFD6"/>
          </w:tcPr>
          <w:p>
            <w:r/>
            <w:r>
              <w:rPr>
                <w:b/>
                <w:i w:val="0"/>
                <w:sz w:val="18"/>
              </w:rPr>
              <w:t>Project</w:t>
            </w:r>
          </w:p>
        </w:tc>
        <w:tc>
          <w:tcPr>
            <w:tcW w:type="dxa" w:w="7087"/>
          </w:tcPr>
          <w:p>
            <w:r/>
            <w:r>
              <w:rPr>
                <w:b w:val="0"/>
                <w:i w:val="0"/>
                <w:sz w:val="18"/>
              </w:rPr>
              <w:t>Review of the Mid-Western Regional Contributions Plan 2019; new Section 7.11 and Section 7.12 contributions plans; framework for future contributions plans</w:t>
            </w:r>
          </w:p>
        </w:tc>
      </w:tr>
      <w:tr>
        <w:tc>
          <w:tcPr>
            <w:tcW w:type="dxa" w:w="2551"/>
            <w:shd w:val="clear" w:color="auto" w:fill="F6EFD6"/>
          </w:tcPr>
          <w:p>
            <w:r/>
            <w:r>
              <w:rPr>
                <w:b/>
                <w:i w:val="0"/>
                <w:sz w:val="18"/>
              </w:rPr>
              <w:t>Area</w:t>
            </w:r>
          </w:p>
        </w:tc>
        <w:tc>
          <w:tcPr>
            <w:tcW w:type="dxa" w:w="7087"/>
          </w:tcPr>
          <w:p>
            <w:r/>
            <w:r>
              <w:rPr>
                <w:b w:val="0"/>
                <w:i w:val="0"/>
                <w:sz w:val="18"/>
              </w:rPr>
              <w:t>Mid-Western Regional LGA, NSW (Mudgee, Gulgong, Kandos, Rylstone and villages)</w:t>
            </w:r>
          </w:p>
        </w:tc>
      </w:tr>
      <w:tr>
        <w:tc>
          <w:tcPr>
            <w:tcW w:type="dxa" w:w="2551"/>
            <w:shd w:val="clear" w:color="auto" w:fill="F6EFD6"/>
          </w:tcPr>
          <w:p>
            <w:r/>
            <w:r>
              <w:rPr>
                <w:b/>
                <w:i w:val="0"/>
                <w:sz w:val="18"/>
              </w:rPr>
              <w:t>Prepared and reviewed by</w:t>
            </w:r>
          </w:p>
        </w:tc>
        <w:tc>
          <w:tcPr>
            <w:tcW w:type="dxa" w:w="7087"/>
          </w:tcPr>
          <w:p>
            <w:r/>
            <w:r>
              <w:rPr>
                <w:b w:val="0"/>
                <w:i w:val="0"/>
                <w:sz w:val="18"/>
              </w:rPr>
              <w:t>Jayden Callen, Director</w:t>
            </w:r>
          </w:p>
        </w:tc>
      </w:tr>
    </w:tbl>
    <w:p/>
    <w:p>
      <w:r>
        <w:rPr>
          <w:b w:val="0"/>
          <w:i w:val="0"/>
        </w:rPr>
        <w:t>Dear [TBC - Jayden: contact officer name, or Sir or Madam],</w:t>
      </w:r>
    </w:p>
    <w:p>
      <w:r>
        <w:rPr>
          <w:b w:val="0"/>
          <w:i w:val="0"/>
        </w:rPr>
        <w:t>JCE Infrastructure (JCE) submits this proposal in response to Council's Request for Quotation MWRCCMS001497 for the review of the Mid-Western Regional Contributions Plan 2019, the preparation of new Section 7.11 and Section 7.12 contributions plans, and a framework for future contributions plans.</w:t>
      </w:r>
    </w:p>
    <w:p>
      <w:r>
        <w:rPr>
          <w:b w:val="0"/>
          <w:i w:val="0"/>
        </w:rPr>
        <w:t>JCE will deliver the engagement as lead consultant, with a specialist contributions planner and a quantity surveyor working to one program under JCE's Director, Jayden Callen. Jayden leads the commission personally and is Council's single point of contact. His recent roles have been in civil design management: coordinating several disciplines and subconsultants into one package, preparing engineer's estimates and bills of quantities, and reviewing work before it reaches the client. He has also worked for a regional council in Far North Queensland, where he shortlisted consultants for a council tender, so he knows what a council officer needs after award: clear hold points, no surprises on scope or fee, and records Council can audit.</w:t>
      </w:r>
    </w:p>
    <w:p>
      <w:r>
        <w:rPr>
          <w:b w:val="0"/>
          <w:i w:val="0"/>
        </w:rPr>
        <w:t>Roads, bridges, pathways and drainage make up well over half of the 2019 works schedule by value, and the heavy haulage contribution is a pavement engineering calculation. JCE will scope and cost these items directly. The planning partner will lead growth forecasts, nexus, apportionment and plan drafting.</w:t>
      </w:r>
    </w:p>
    <w:p>
      <w:r>
        <w:rPr>
          <w:b w:val="0"/>
          <w:i w:val="0"/>
        </w:rPr>
        <w:t>Our lump sum for JCE's services is $78,165.88 excluding GST. With provisional sums of $58,300.00 for the planning partner and the quantity surveyor, the total is $136,465.88 excluding GST ($150,112.46 including GST). The provisional sums will be replaced with quoted figures before award if Council requests.</w:t>
      </w:r>
    </w:p>
    <w:p>
      <w:r>
        <w:rPr>
          <w:b w:val="0"/>
          <w:i w:val="0"/>
        </w:rPr>
        <w:t>Please contact me on 0477 207 027 or jayden@jceinfrastructure.com.au with any questions.</w:t>
      </w:r>
    </w:p>
    <w:p>
      <w:pPr>
        <w:keepNext/>
      </w:pPr>
      <w:r>
        <w:rPr>
          <w:b w:val="0"/>
          <w:i w:val="0"/>
        </w:rPr>
        <w:t>Yours faithfully,</w:t>
      </w:r>
    </w:p>
    <w:p>
      <w:pPr>
        <w:keepNext/>
      </w:pPr>
      <w:r>
        <w:rPr>
          <w:b w:val="0"/>
          <w:i w:val="0"/>
        </w:rPr>
        <w:t>[signature]</w:t>
      </w:r>
    </w:p>
    <w:p>
      <w:pPr>
        <w:keepNext/>
      </w:pPr>
      <w:r>
        <w:rPr>
          <w:b/>
          <w:i w:val="0"/>
        </w:rPr>
        <w:t>Jayden Callen</w:t>
      </w:r>
    </w:p>
    <w:p>
      <w:r>
        <w:rPr>
          <w:b w:val="0"/>
          <w:i w:val="0"/>
        </w:rPr>
        <w:t>Director, JCE Infrastructure Pty Ltd</w:t>
      </w:r>
    </w:p>
    <w:p>
      <w:r>
        <w:br w:type="page"/>
      </w:r>
    </w:p>
    <w:p>
      <w:pPr>
        <w:keepNext/>
        <w:spacing w:before="240" w:after="80"/>
        <w:pBdr>
          <w:bottom w:val="single" w:sz="8" w:space="1" w:color="C9A227"/>
        </w:pBdr>
      </w:pPr>
      <w:r>
        <w:rPr>
          <w:b/>
          <w:i w:val="0"/>
          <w:color w:val="000000"/>
          <w:sz w:val="26"/>
        </w:rPr>
        <w:t>1. Project understanding</w:t>
      </w:r>
    </w:p>
    <w:p>
      <w:r>
        <w:rPr>
          <w:b w:val="0"/>
          <w:i w:val="0"/>
        </w:rPr>
        <w:t>Council's current framework is the Mid-Western Regional Contributions Plan 2019, prepared for Council by GLN Planning. It applies across the local government area and combines:</w:t>
      </w:r>
    </w:p>
    <w:p>
      <w:pPr>
        <w:pStyle w:val="ListBullet"/>
        <w:keepNext/>
        <w:spacing w:after="40"/>
      </w:pPr>
      <w:r>
        <w:rPr>
          <w:b w:val="0"/>
          <w:i w:val="0"/>
        </w:rPr>
        <w:t>Section 7.11 contributions for residential development, with separate rates for the Mudgee catchment and for the area outside Mudgee (Gulgong, Kandos, Rylstone and the villages);</w:t>
      </w:r>
    </w:p>
    <w:p>
      <w:pPr>
        <w:pStyle w:val="ListBullet"/>
        <w:keepNext/>
        <w:spacing w:after="40"/>
      </w:pPr>
      <w:r>
        <w:rPr>
          <w:b w:val="0"/>
          <w:i w:val="0"/>
        </w:rPr>
        <w:t>Section 7.12 fixed levies on other development; and</w:t>
      </w:r>
    </w:p>
    <w:p>
      <w:pPr>
        <w:pStyle w:val="ListBullet"/>
        <w:spacing w:after="40"/>
      </w:pPr>
      <w:r>
        <w:rPr>
          <w:b w:val="0"/>
          <w:i w:val="0"/>
        </w:rPr>
        <w:t>a heavy haulage contribution for extractive industries, based on road pavement damage.</w:t>
      </w:r>
    </w:p>
    <w:p>
      <w:r>
        <w:rPr>
          <w:b w:val="0"/>
          <w:i w:val="0"/>
        </w:rPr>
        <w:t>The 2019 works schedule of about $53.3 million covers transport (sealed rural and urban roads, rural bridges, pedestrian access and mobility), open space and recreation, community facilities, Mudgee stormwater and drainage, and plan administration, against forecast growth of about 2,000 residents to 2029.</w:t>
      </w:r>
    </w:p>
    <w:p>
      <w:r>
        <w:rPr>
          <w:b w:val="0"/>
          <w:i w:val="0"/>
        </w:rPr>
        <w:t>Council now needs the 2019 Plan, and any later amendments, reviewed and replaced by new Section 7.11 and Section 7.12 plans that reflect current growth and land release, current infrastructure priorities and costs, delivery to date, and current legislation and Department of Planning, Housing and Infrastructure guidance. Council also wants a framework it can use to prepare and maintain future plans.</w:t>
      </w:r>
    </w:p>
    <w:p>
      <w:r>
        <w:rPr>
          <w:b w:val="0"/>
          <w:i w:val="0"/>
        </w:rPr>
        <w:t>A defensible plan rests on three things: a clear nexus between forecast development and each works item, a works schedule that is properly scoped, located and costed, and a reasonable apportionment of each item's cost to new development. JCE's engineering input goes mainly to the second, and supports the planning partner on the first and third.</w:t>
      </w:r>
    </w:p>
    <w:p>
      <w:pPr>
        <w:keepNext/>
        <w:spacing w:before="120" w:after="40"/>
      </w:pPr>
      <w:r>
        <w:rPr>
          <w:b/>
          <w:i w:val="0"/>
          <w:color w:val="C9A227"/>
          <w:sz w:val="21"/>
        </w:rPr>
        <w:t>Key risks and how JCE will manage them</w:t>
      </w:r>
    </w:p>
    <w:tbl>
      <w:tblPr>
        <w:tblStyle w:val="TableGrid"/>
        <w:tblW w:type="auto" w:w="0"/>
        <w:jc w:val="center"/>
        <w:tblLayout w:type="fixed"/>
        <w:tblLook w:firstColumn="1" w:firstRow="1" w:lastColumn="0" w:lastRow="0" w:noHBand="0" w:noVBand="1" w:val="04A0"/>
        <w:tblLayout w:type="fixed"/>
      </w:tblPr>
      <w:tblGrid>
        <w:gridCol w:w="3118"/>
        <w:gridCol w:w="6520"/>
      </w:tblGrid>
      <w:tr>
        <w:trPr>
          <w:cantSplit/>
        </w:trPr>
        <w:tc>
          <w:tcPr>
            <w:tcW w:type="dxa" w:w="3118"/>
            <w:shd w:val="clear" w:color="auto" w:fill="1A1A1A"/>
          </w:tcPr>
          <w:p>
            <w:pPr>
              <w:keepNext/>
              <w:spacing w:after="20"/>
            </w:pPr>
            <w:r/>
            <w:r>
              <w:rPr>
                <w:b/>
                <w:i w:val="0"/>
                <w:color w:val="FFFFFF"/>
                <w:sz w:val="18"/>
              </w:rPr>
              <w:t>Risk</w:t>
            </w:r>
          </w:p>
        </w:tc>
        <w:tc>
          <w:tcPr>
            <w:tcW w:type="dxa" w:w="6520"/>
            <w:shd w:val="clear" w:color="auto" w:fill="1A1A1A"/>
          </w:tcPr>
          <w:p>
            <w:pPr>
              <w:keepNext/>
              <w:spacing w:after="20"/>
            </w:pPr>
            <w:r/>
            <w:r>
              <w:rPr>
                <w:b/>
                <w:i w:val="0"/>
                <w:color w:val="FFFFFF"/>
                <w:sz w:val="18"/>
              </w:rPr>
              <w:t>JCE response</w:t>
            </w:r>
          </w:p>
        </w:tc>
      </w:tr>
      <w:tr>
        <w:trPr>
          <w:cantSplit/>
        </w:trPr>
        <w:tc>
          <w:tcPr>
            <w:tcW w:type="dxa" w:w="3118"/>
          </w:tcPr>
          <w:p>
            <w:pPr>
              <w:keepNext/>
              <w:spacing w:after="20"/>
            </w:pPr>
            <w:r/>
            <w:r>
              <w:rPr>
                <w:b w:val="0"/>
                <w:i w:val="0"/>
                <w:sz w:val="18"/>
              </w:rPr>
              <w:t>Out-of-date or inconsistent works costs weaken the plan if challenged</w:t>
            </w:r>
          </w:p>
        </w:tc>
        <w:tc>
          <w:tcPr>
            <w:tcW w:type="dxa" w:w="6520"/>
          </w:tcPr>
          <w:p>
            <w:pPr>
              <w:keepNext/>
              <w:spacing w:after="20"/>
            </w:pPr>
            <w:r/>
            <w:r>
              <w:rPr>
                <w:b w:val="0"/>
                <w:i w:val="0"/>
                <w:sz w:val="18"/>
              </w:rPr>
              <w:t>One costing basis for all engineering items (unit rates, on-costs, design and contingency allowances), documented in the background report and verified by the Director before issue.</w:t>
            </w:r>
          </w:p>
        </w:tc>
      </w:tr>
      <w:tr>
        <w:trPr>
          <w:cantSplit/>
        </w:trPr>
        <w:tc>
          <w:tcPr>
            <w:tcW w:type="dxa" w:w="3118"/>
          </w:tcPr>
          <w:p>
            <w:pPr>
              <w:keepNext/>
              <w:spacing w:after="20"/>
            </w:pPr>
            <w:r/>
            <w:r>
              <w:rPr>
                <w:b w:val="0"/>
                <w:i w:val="0"/>
                <w:sz w:val="18"/>
              </w:rPr>
              <w:t>Growth forecasts change during the project</w:t>
            </w:r>
          </w:p>
        </w:tc>
        <w:tc>
          <w:tcPr>
            <w:tcW w:type="dxa" w:w="6520"/>
          </w:tcPr>
          <w:p>
            <w:pPr>
              <w:keepNext/>
              <w:spacing w:after="20"/>
            </w:pPr>
            <w:r/>
            <w:r>
              <w:rPr>
                <w:b w:val="0"/>
                <w:i w:val="0"/>
                <w:sz w:val="18"/>
              </w:rPr>
              <w:t>Growth scenario fixed at the end of Stage 2 as a hold point, agreed with Council, before the works schedule is costed.</w:t>
            </w:r>
          </w:p>
        </w:tc>
      </w:tr>
      <w:tr>
        <w:trPr>
          <w:cantSplit/>
        </w:trPr>
        <w:tc>
          <w:tcPr>
            <w:tcW w:type="dxa" w:w="3118"/>
          </w:tcPr>
          <w:p>
            <w:pPr>
              <w:keepNext/>
              <w:spacing w:after="20"/>
            </w:pPr>
            <w:r/>
            <w:r>
              <w:rPr>
                <w:b w:val="0"/>
                <w:i w:val="0"/>
                <w:sz w:val="18"/>
              </w:rPr>
              <w:t>Heavy haulage rate is out of date or hard to defend</w:t>
            </w:r>
          </w:p>
        </w:tc>
        <w:tc>
          <w:tcPr>
            <w:tcW w:type="dxa" w:w="6520"/>
          </w:tcPr>
          <w:p>
            <w:pPr>
              <w:keepNext/>
              <w:spacing w:after="20"/>
            </w:pPr>
            <w:r/>
            <w:r>
              <w:rPr>
                <w:b w:val="0"/>
                <w:i w:val="0"/>
                <w:sz w:val="18"/>
              </w:rPr>
              <w:t>Rate rebuilt from current haulage volumes, haul routes, ESA loading and pavement rehabilitation costs, with the calculation set out in a separate memo.</w:t>
            </w:r>
          </w:p>
        </w:tc>
      </w:tr>
      <w:tr>
        <w:trPr>
          <w:cantSplit/>
        </w:trPr>
        <w:tc>
          <w:tcPr>
            <w:tcW w:type="dxa" w:w="3118"/>
          </w:tcPr>
          <w:p>
            <w:pPr>
              <w:keepNext/>
              <w:spacing w:after="20"/>
            </w:pPr>
            <w:r/>
            <w:r>
              <w:rPr>
                <w:b w:val="0"/>
                <w:i w:val="0"/>
                <w:sz w:val="18"/>
              </w:rPr>
              <w:t>Contribution rates exceed the threshold for IPART review</w:t>
            </w:r>
          </w:p>
        </w:tc>
        <w:tc>
          <w:tcPr>
            <w:tcW w:type="dxa" w:w="6520"/>
          </w:tcPr>
          <w:p>
            <w:pPr>
              <w:keepNext/>
              <w:spacing w:after="20"/>
            </w:pPr>
            <w:r/>
            <w:r>
              <w:rPr>
                <w:b w:val="0"/>
                <w:i w:val="0"/>
                <w:sz w:val="18"/>
              </w:rPr>
              <w:t>Planning partner checks rates against the threshold at the draft stage, so Council can decide on scope or apportionment before exhibition.</w:t>
            </w:r>
          </w:p>
        </w:tc>
      </w:tr>
      <w:tr>
        <w:trPr>
          <w:cantSplit/>
        </w:trPr>
        <w:tc>
          <w:tcPr>
            <w:tcW w:type="dxa" w:w="3118"/>
          </w:tcPr>
          <w:p>
            <w:pPr>
              <w:keepNext w:val="0"/>
              <w:spacing w:after="20"/>
            </w:pPr>
            <w:r/>
            <w:r>
              <w:rPr>
                <w:b w:val="0"/>
                <w:i w:val="0"/>
                <w:sz w:val="18"/>
              </w:rPr>
              <w:t>Council officer time is stretched</w:t>
            </w:r>
          </w:p>
        </w:tc>
        <w:tc>
          <w:tcPr>
            <w:tcW w:type="dxa" w:w="6520"/>
          </w:tcPr>
          <w:p>
            <w:pPr>
              <w:keepNext w:val="0"/>
              <w:spacing w:after="20"/>
            </w:pPr>
            <w:r/>
            <w:r>
              <w:rPr>
                <w:b w:val="0"/>
                <w:i w:val="0"/>
                <w:sz w:val="18"/>
              </w:rPr>
              <w:t>One consolidated comments register, defined review points, and drafts issued complete and checked.</w:t>
            </w:r>
          </w:p>
        </w:tc>
      </w:tr>
    </w:tbl>
    <w:p>
      <w:pPr>
        <w:spacing w:after="40"/>
      </w:pPr>
    </w:p>
    <w:p>
      <w:pPr>
        <w:keepNext/>
        <w:spacing w:before="240" w:after="80"/>
        <w:pBdr>
          <w:bottom w:val="single" w:sz="8" w:space="1" w:color="C9A227"/>
        </w:pBdr>
      </w:pPr>
      <w:r>
        <w:rPr>
          <w:b/>
          <w:i w:val="0"/>
          <w:color w:val="000000"/>
          <w:sz w:val="26"/>
        </w:rPr>
        <w:t>2. Scope of services and methodology</w:t>
      </w:r>
    </w:p>
    <w:p>
      <w:r>
        <w:rPr>
          <w:b w:val="0"/>
          <w:i w:val="0"/>
        </w:rPr>
        <w:t>JCE will deliver the services in six stages, with project management throughout. The lead for each task is shown. Hold points (HP) are where Council confirms the output before the next stage starts.</w:t>
      </w:r>
    </w:p>
    <w:p>
      <w:pPr>
        <w:keepNext/>
        <w:spacing w:before="120" w:after="40"/>
      </w:pPr>
      <w:r>
        <w:rPr>
          <w:b/>
          <w:i w:val="0"/>
          <w:color w:val="C9A227"/>
          <w:sz w:val="21"/>
        </w:rPr>
        <w:t>Project management (all stages)</w:t>
      </w:r>
    </w:p>
    <w:p>
      <w:pPr>
        <w:pStyle w:val="ListBullet"/>
        <w:keepNext/>
        <w:spacing w:after="40"/>
      </w:pPr>
      <w:r>
        <w:rPr>
          <w:b w:val="0"/>
          <w:i w:val="0"/>
        </w:rPr>
        <w:t>Jayden Callen manages the team to one program, with monthly progress reports, one comments and actions register, and design reviews before anything reaches Council.</w:t>
      </w:r>
    </w:p>
    <w:p>
      <w:pPr>
        <w:pStyle w:val="ListBullet"/>
        <w:spacing w:after="40"/>
      </w:pPr>
      <w:r>
        <w:rPr>
          <w:b w:val="0"/>
          <w:i w:val="0"/>
        </w:rPr>
        <w:t>JCE coordinates the planning partner and quantity surveyor and is accountable to Council for all deliverables.</w:t>
      </w:r>
    </w:p>
    <w:p>
      <w:pPr>
        <w:keepNext/>
        <w:spacing w:before="120" w:after="40"/>
      </w:pPr>
      <w:r>
        <w:rPr>
          <w:b/>
          <w:i w:val="0"/>
          <w:color w:val="C9A227"/>
          <w:sz w:val="21"/>
        </w:rPr>
        <w:t>Stage 1: Inception, review and site inspection</w:t>
      </w:r>
    </w:p>
    <w:p>
      <w:pPr>
        <w:pStyle w:val="ListBullet"/>
        <w:keepNext/>
        <w:spacing w:after="40"/>
      </w:pPr>
      <w:r>
        <w:rPr>
          <w:b w:val="0"/>
          <w:i w:val="0"/>
        </w:rPr>
        <w:t>Inception meeting with Council's project team to confirm objectives, scope, data, program, governance and communication.</w:t>
      </w:r>
    </w:p>
    <w:p>
      <w:pPr>
        <w:pStyle w:val="ListBullet"/>
        <w:keepNext/>
        <w:spacing w:after="40"/>
      </w:pPr>
      <w:r>
        <w:rPr>
          <w:b w:val="0"/>
          <w:i w:val="0"/>
        </w:rPr>
        <w:t>Review of the 2019 Plan: works delivered and outstanding, contributions received and held, indexation, and items to carry forward, re-scope or remove (JCE for engineering items; planning partner for plan structure, nexus and administration).</w:t>
      </w:r>
    </w:p>
    <w:p>
      <w:pPr>
        <w:pStyle w:val="ListBullet"/>
        <w:keepNext/>
        <w:spacing w:after="40"/>
      </w:pPr>
      <w:r>
        <w:rPr>
          <w:b w:val="0"/>
          <w:i w:val="0"/>
        </w:rPr>
        <w:t>Review of Council's Delivery Program and Operational Plan, asset management plans, transport, recreation and open space, drainage and flood studies, land use strategies and urban release areas.</w:t>
      </w:r>
    </w:p>
    <w:p>
      <w:pPr>
        <w:pStyle w:val="ListBullet"/>
        <w:spacing w:after="40"/>
      </w:pPr>
      <w:r>
        <w:rPr>
          <w:b w:val="0"/>
          <w:i w:val="0"/>
        </w:rPr>
        <w:t>Site inspection of key works locations in Mudgee, Gulgong, Kandos and Rylstone with Council officers (one two-day visit).</w:t>
      </w:r>
    </w:p>
    <w:p>
      <w:pPr>
        <w:keepNext/>
        <w:spacing w:before="120" w:after="40"/>
      </w:pPr>
      <w:r>
        <w:rPr>
          <w:b/>
          <w:i w:val="0"/>
          <w:color w:val="C9A227"/>
          <w:sz w:val="21"/>
        </w:rPr>
        <w:t>Stage 2: Growth, infrastructure needs and heavy haulage review</w:t>
      </w:r>
    </w:p>
    <w:p>
      <w:pPr>
        <w:pStyle w:val="ListBullet"/>
        <w:keepNext/>
        <w:spacing w:after="40"/>
      </w:pPr>
      <w:r>
        <w:rPr>
          <w:b w:val="0"/>
          <w:i w:val="0"/>
        </w:rPr>
        <w:t>Planning partner: population, dwelling and non-residential growth forecasts for the plan period, by catchment, and occupancy rates.</w:t>
      </w:r>
    </w:p>
    <w:p>
      <w:pPr>
        <w:pStyle w:val="ListBullet"/>
        <w:keepNext/>
        <w:spacing w:after="40"/>
      </w:pPr>
      <w:r>
        <w:rPr>
          <w:b w:val="0"/>
          <w:i w:val="0"/>
        </w:rPr>
        <w:t>JCE: needs assessment for roads, intersections, rural bridges, pathways and pedestrian access, and stormwater and trunk drainage generated by forecast growth, using Council's studies and network data.</w:t>
      </w:r>
    </w:p>
    <w:p>
      <w:pPr>
        <w:pStyle w:val="ListBullet"/>
        <w:keepNext/>
        <w:spacing w:after="40"/>
      </w:pPr>
      <w:r>
        <w:rPr>
          <w:b w:val="0"/>
          <w:i w:val="0"/>
        </w:rPr>
        <w:t>JCE: review of the heavy haulage contribution, including haul routes, current extractive industry volumes, ESA loading, pavement design life and rehabilitation costs, and the per-tonne rate and its indexation.</w:t>
      </w:r>
    </w:p>
    <w:p>
      <w:pPr>
        <w:pStyle w:val="ListBullet"/>
        <w:keepNext/>
        <w:spacing w:after="40"/>
      </w:pPr>
      <w:r>
        <w:rPr>
          <w:b w:val="0"/>
          <w:i w:val="0"/>
        </w:rPr>
        <w:t>JCE and planning partner: nexus and apportionment inputs for each engineering item.</w:t>
      </w:r>
    </w:p>
    <w:p>
      <w:pPr>
        <w:pStyle w:val="ListBullet"/>
        <w:spacing w:after="40"/>
      </w:pPr>
      <w:r>
        <w:rPr>
          <w:b w:val="0"/>
          <w:i w:val="0"/>
        </w:rPr>
        <w:t>HP1: Council agrees the growth scenario and the list of works items to be costed.</w:t>
      </w:r>
    </w:p>
    <w:p>
      <w:pPr>
        <w:keepNext/>
        <w:spacing w:before="120" w:after="40"/>
      </w:pPr>
      <w:r>
        <w:rPr>
          <w:b/>
          <w:i w:val="0"/>
          <w:color w:val="C9A227"/>
          <w:sz w:val="21"/>
        </w:rPr>
        <w:t>Stage 3: Works schedule and cost estimates</w:t>
      </w:r>
    </w:p>
    <w:p>
      <w:pPr>
        <w:pStyle w:val="ListBullet"/>
        <w:keepNext/>
        <w:spacing w:after="40"/>
      </w:pPr>
      <w:r>
        <w:rPr>
          <w:b w:val="0"/>
          <w:i w:val="0"/>
        </w:rPr>
        <w:t>JCE: scoping of each transport and stormwater item (location, extent, standard and staging) and strategic opinions of probable cost on a consistent basis.</w:t>
      </w:r>
    </w:p>
    <w:p>
      <w:pPr>
        <w:pStyle w:val="ListBullet"/>
        <w:keepNext/>
        <w:spacing w:after="40"/>
      </w:pPr>
      <w:r>
        <w:rPr>
          <w:b w:val="0"/>
          <w:i w:val="0"/>
        </w:rPr>
        <w:t>Quantity surveyor: estimates for community, recreation and open space facilities, checked for consistency by JCE.</w:t>
      </w:r>
    </w:p>
    <w:p>
      <w:pPr>
        <w:pStyle w:val="ListBullet"/>
        <w:keepNext/>
        <w:spacing w:after="40"/>
      </w:pPr>
      <w:r>
        <w:rPr>
          <w:b w:val="0"/>
          <w:i w:val="0"/>
        </w:rPr>
        <w:t>Works location maps by catchment and category, and a works schedule spreadsheet with costs, apportionment and timing.</w:t>
      </w:r>
    </w:p>
    <w:p>
      <w:pPr>
        <w:pStyle w:val="ListBullet"/>
        <w:keepNext/>
        <w:spacing w:after="40"/>
      </w:pPr>
      <w:r>
        <w:rPr>
          <w:b w:val="0"/>
          <w:i w:val="0"/>
        </w:rPr>
        <w:t>Director's verification of the works schedule and cost estimates before issue.</w:t>
      </w:r>
    </w:p>
    <w:p>
      <w:pPr>
        <w:pStyle w:val="ListBullet"/>
        <w:spacing w:after="40"/>
      </w:pPr>
      <w:r>
        <w:rPr>
          <w:b w:val="0"/>
          <w:i w:val="0"/>
        </w:rPr>
        <w:t>HP2: Council reviews and confirms the works schedule and costs.</w:t>
      </w:r>
    </w:p>
    <w:p>
      <w:pPr>
        <w:keepNext/>
        <w:spacing w:before="120" w:after="40"/>
      </w:pPr>
      <w:r>
        <w:rPr>
          <w:b/>
          <w:i w:val="0"/>
          <w:color w:val="C9A227"/>
          <w:sz w:val="21"/>
        </w:rPr>
        <w:t>Stage 4: Draft plans and background report</w:t>
      </w:r>
    </w:p>
    <w:p>
      <w:pPr>
        <w:pStyle w:val="ListBullet"/>
        <w:keepNext/>
        <w:spacing w:after="40"/>
      </w:pPr>
      <w:r>
        <w:rPr>
          <w:b w:val="0"/>
          <w:i w:val="0"/>
        </w:rPr>
        <w:t>Planning partner: draft Section 7.11 and Section 7.12 plans, contribution rates, administration provisions, indexation, works-in-kind and planning agreement provisions, and the IPART threshold check.</w:t>
      </w:r>
    </w:p>
    <w:p>
      <w:pPr>
        <w:pStyle w:val="ListBullet"/>
        <w:keepNext/>
        <w:spacing w:after="40"/>
      </w:pPr>
      <w:r>
        <w:rPr>
          <w:b w:val="0"/>
          <w:i w:val="0"/>
        </w:rPr>
        <w:t>JCE: infrastructure background report (transport, stormwater and heavy haulage) and the engineering content of the plans.</w:t>
      </w:r>
    </w:p>
    <w:p>
      <w:pPr>
        <w:pStyle w:val="ListBullet"/>
        <w:spacing w:after="40"/>
      </w:pPr>
      <w:r>
        <w:rPr>
          <w:b w:val="0"/>
          <w:i w:val="0"/>
        </w:rPr>
        <w:t>One round of consolidated Council comment, then issue of the drafts for Council's resolution to exhibit (HP3).</w:t>
      </w:r>
    </w:p>
    <w:p>
      <w:pPr>
        <w:keepNext/>
        <w:spacing w:before="120" w:after="40"/>
      </w:pPr>
      <w:r>
        <w:rPr>
          <w:b/>
          <w:i w:val="0"/>
          <w:color w:val="C9A227"/>
          <w:sz w:val="21"/>
        </w:rPr>
        <w:t>Stage 5: Public exhibition, finalisation and adoption</w:t>
      </w:r>
    </w:p>
    <w:p>
      <w:pPr>
        <w:pStyle w:val="ListBullet"/>
        <w:spacing w:after="40"/>
      </w:pPr>
      <w:r>
        <w:rPr>
          <w:b w:val="0"/>
          <w:i w:val="0"/>
        </w:rPr>
        <w:t>Support during public exhibition, responses to submissions (engineering submissions by JCE), amendments to the plans, works schedule and maps, input to the Council report and one Councillor briefing, and handover of final plans and editable files.</w:t>
      </w:r>
    </w:p>
    <w:p>
      <w:pPr>
        <w:keepNext/>
        <w:spacing w:before="120" w:after="40"/>
      </w:pPr>
      <w:r>
        <w:rPr>
          <w:b/>
          <w:i w:val="0"/>
          <w:color w:val="C9A227"/>
          <w:sz w:val="21"/>
        </w:rPr>
        <w:t>Stage 6: Framework for future contributions plans</w:t>
      </w:r>
    </w:p>
    <w:p>
      <w:pPr>
        <w:pStyle w:val="ListBullet"/>
        <w:spacing w:after="40"/>
      </w:pPr>
      <w:r>
        <w:rPr>
          <w:b w:val="0"/>
          <w:i w:val="0"/>
        </w:rPr>
        <w:t>A practical framework and guideline for preparing, reviewing and maintaining contributions plans: data sources, growth review triggers, works scoping and costing method, apportionment, indexation, reporting and the review cycle, with templates for the works schedule and cost model.</w:t>
      </w:r>
    </w:p>
    <w:p>
      <w:r>
        <w:rPr>
          <w:b w:val="0"/>
          <w:i w:val="0"/>
        </w:rPr>
        <w:t>The fee includes one round of consolidated Council comment at each draft stage and the meetings listed in Section 5. Further rounds, additional meetings or a second exhibition are additional services under Section 9.</w:t>
      </w:r>
    </w:p>
    <w:p>
      <w:pPr>
        <w:keepNext/>
        <w:spacing w:before="240" w:after="80"/>
        <w:pBdr>
          <w:bottom w:val="single" w:sz="8" w:space="1" w:color="C9A227"/>
        </w:pBdr>
      </w:pPr>
      <w:r>
        <w:rPr>
          <w:b/>
          <w:i w:val="0"/>
          <w:color w:val="000000"/>
          <w:sz w:val="26"/>
        </w:rPr>
        <w:t>3. Deliverables</w:t>
      </w:r>
    </w:p>
    <w:p>
      <w:pPr>
        <w:pStyle w:val="ListBullet"/>
        <w:keepNext w:val="0"/>
        <w:spacing w:after="40"/>
      </w:pPr>
      <w:r>
        <w:rPr>
          <w:b w:val="0"/>
          <w:i w:val="0"/>
        </w:rPr>
        <w:t>Inception meeting record, confirmed program and information register.</w:t>
      </w:r>
    </w:p>
    <w:p>
      <w:pPr>
        <w:pStyle w:val="ListBullet"/>
        <w:keepNext w:val="0"/>
        <w:spacing w:after="40"/>
      </w:pPr>
      <w:r>
        <w:rPr>
          <w:b w:val="0"/>
          <w:i w:val="0"/>
        </w:rPr>
        <w:t>Review of the 2019 Plan (memo), and growth and infrastructure needs assessment (memo).</w:t>
      </w:r>
    </w:p>
    <w:p>
      <w:pPr>
        <w:pStyle w:val="ListBullet"/>
        <w:keepNext w:val="0"/>
        <w:spacing w:after="40"/>
      </w:pPr>
      <w:r>
        <w:rPr>
          <w:b w:val="0"/>
          <w:i w:val="0"/>
        </w:rPr>
        <w:t>Heavy haulage contribution review (memo with the revised rate and calculation).</w:t>
      </w:r>
    </w:p>
    <w:p>
      <w:pPr>
        <w:pStyle w:val="ListBullet"/>
        <w:keepNext w:val="0"/>
        <w:spacing w:after="40"/>
      </w:pPr>
      <w:r>
        <w:rPr>
          <w:b w:val="0"/>
          <w:i w:val="0"/>
        </w:rPr>
        <w:t>Works schedule spreadsheet with scoping, cost estimates, apportionment and timing; works location maps (PDF and GIS layers).</w:t>
      </w:r>
    </w:p>
    <w:p>
      <w:pPr>
        <w:pStyle w:val="ListBullet"/>
        <w:keepNext w:val="0"/>
        <w:spacing w:after="40"/>
      </w:pPr>
      <w:r>
        <w:rPr>
          <w:b w:val="0"/>
          <w:i w:val="0"/>
        </w:rPr>
        <w:t>Infrastructure background report (transport, stormwater and heavy haulage).</w:t>
      </w:r>
    </w:p>
    <w:p>
      <w:pPr>
        <w:pStyle w:val="ListBullet"/>
        <w:keepNext w:val="0"/>
        <w:spacing w:after="40"/>
      </w:pPr>
      <w:r>
        <w:rPr>
          <w:b w:val="0"/>
          <w:i w:val="0"/>
        </w:rPr>
        <w:t>Draft and final Section 7.11 plan and Section 7.12 plan (Word and PDF), with exhibition material and a submissions report.</w:t>
      </w:r>
    </w:p>
    <w:p>
      <w:pPr>
        <w:pStyle w:val="ListBullet"/>
        <w:spacing w:after="40"/>
      </w:pPr>
      <w:r>
        <w:rPr>
          <w:b w:val="0"/>
          <w:i w:val="0"/>
        </w:rPr>
        <w:t>Framework for future contributions plans, with works schedule and cost model templates.</w:t>
      </w:r>
    </w:p>
    <w:p>
      <w:r>
        <w:rPr>
          <w:b/>
          <w:i w:val="0"/>
        </w:rPr>
        <w:t xml:space="preserve">Status of estimates. </w:t>
      </w:r>
      <w:r>
        <w:rPr>
          <w:b w:val="0"/>
          <w:i w:val="0"/>
        </w:rPr>
        <w:t>Cost estimates are strategic opinions of probable cost prepared for contributions planning, based on concept scopes and benchmark rates. They are not design estimates or construction quotations.</w:t>
      </w:r>
    </w:p>
    <w:p>
      <w:r>
        <w:rPr>
          <w:b/>
          <w:i w:val="0"/>
        </w:rPr>
        <w:t xml:space="preserve">Editable files. </w:t>
      </w:r>
      <w:r>
        <w:rPr>
          <w:b w:val="0"/>
          <w:i w:val="0"/>
        </w:rPr>
        <w:t>Council receives the final plans, works schedule, cost model and GIS layers in editable form for its own use in administering and reviewing the plans.</w:t>
      </w:r>
    </w:p>
    <w:p>
      <w:pPr>
        <w:keepNext/>
        <w:spacing w:before="240" w:after="80"/>
        <w:pBdr>
          <w:bottom w:val="single" w:sz="8" w:space="1" w:color="C9A227"/>
        </w:pBdr>
      </w:pPr>
      <w:r>
        <w:rPr>
          <w:b/>
          <w:i w:val="0"/>
          <w:color w:val="000000"/>
          <w:sz w:val="26"/>
        </w:rPr>
        <w:t>4. Exclusions</w:t>
      </w:r>
    </w:p>
    <w:p>
      <w:pPr>
        <w:keepNext/>
      </w:pPr>
      <w:r>
        <w:rPr>
          <w:b w:val="0"/>
          <w:i w:val="0"/>
        </w:rPr>
        <w:t>The following are excluded and can be quoted on request:</w:t>
      </w:r>
    </w:p>
    <w:p>
      <w:pPr>
        <w:pStyle w:val="ListBullet"/>
        <w:keepNext/>
        <w:spacing w:after="40"/>
      </w:pPr>
      <w:r>
        <w:rPr>
          <w:b w:val="0"/>
          <w:i w:val="0"/>
        </w:rPr>
        <w:t>Detailed survey, geotechnical investigation, traffic counts or traffic modelling, and flood or drainage modelling.</w:t>
      </w:r>
    </w:p>
    <w:p>
      <w:pPr>
        <w:pStyle w:val="ListBullet"/>
        <w:keepNext/>
        <w:spacing w:after="40"/>
      </w:pPr>
      <w:r>
        <w:rPr>
          <w:b w:val="0"/>
          <w:i w:val="0"/>
        </w:rPr>
        <w:t>Concept or detailed design of any works item beyond the scoping needed for strategic cost estimates.</w:t>
      </w:r>
    </w:p>
    <w:p>
      <w:pPr>
        <w:pStyle w:val="ListBullet"/>
        <w:keepNext/>
        <w:spacing w:after="40"/>
      </w:pPr>
      <w:r>
        <w:rPr>
          <w:b w:val="0"/>
          <w:i w:val="0"/>
        </w:rPr>
        <w:t>Planning agreements, works-in-kind negotiations, and Section 64 development servicing plans for water and sewer.</w:t>
      </w:r>
    </w:p>
    <w:p>
      <w:pPr>
        <w:pStyle w:val="ListBullet"/>
        <w:keepNext/>
        <w:spacing w:after="40"/>
      </w:pPr>
      <w:r>
        <w:rPr>
          <w:b w:val="0"/>
          <w:i w:val="0"/>
        </w:rPr>
        <w:t>Legal review of the plans, and representation at any IPART review, Land and Environment Court or other proceedings.</w:t>
      </w:r>
    </w:p>
    <w:p>
      <w:pPr>
        <w:pStyle w:val="ListBullet"/>
        <w:keepNext/>
        <w:spacing w:after="40"/>
      </w:pPr>
      <w:r>
        <w:rPr>
          <w:b w:val="0"/>
          <w:i w:val="0"/>
        </w:rPr>
        <w:t>More than one public exhibition, or a second exhibition after material changes by Council.</w:t>
      </w:r>
    </w:p>
    <w:p>
      <w:pPr>
        <w:pStyle w:val="ListBullet"/>
        <w:spacing w:after="40"/>
      </w:pPr>
      <w:r>
        <w:rPr>
          <w:b w:val="0"/>
          <w:i w:val="0"/>
        </w:rPr>
        <w:t>Valuation of land for acquisition (a land valuer can be engaged as an additional service if land costs are included).</w:t>
      </w:r>
    </w:p>
    <w:p>
      <w:pPr>
        <w:keepNext/>
        <w:spacing w:before="240" w:after="80"/>
        <w:pBdr>
          <w:bottom w:val="single" w:sz="8" w:space="1" w:color="C9A227"/>
        </w:pBdr>
      </w:pPr>
      <w:r>
        <w:rPr>
          <w:b/>
          <w:i w:val="0"/>
          <w:color w:val="000000"/>
          <w:sz w:val="26"/>
        </w:rPr>
        <w:t>5. Assumptions and information required from Council</w:t>
      </w:r>
    </w:p>
    <w:p>
      <w:pPr>
        <w:keepNext/>
        <w:spacing w:before="120" w:after="40"/>
      </w:pPr>
      <w:r>
        <w:rPr>
          <w:b/>
          <w:i w:val="0"/>
          <w:color w:val="C9A227"/>
          <w:sz w:val="21"/>
        </w:rPr>
        <w:t>Information required from Council</w:t>
      </w:r>
    </w:p>
    <w:p>
      <w:pPr>
        <w:pStyle w:val="ListBullet"/>
        <w:keepNext/>
        <w:spacing w:after="40"/>
      </w:pPr>
      <w:r>
        <w:rPr>
          <w:b w:val="0"/>
          <w:i w:val="0"/>
        </w:rPr>
        <w:t>The 2019 Plan in editable form, the works schedule and cost model, and records of contributions received, held and spent.</w:t>
      </w:r>
    </w:p>
    <w:p>
      <w:pPr>
        <w:pStyle w:val="ListBullet"/>
        <w:keepNext/>
        <w:spacing w:after="40"/>
      </w:pPr>
      <w:r>
        <w:rPr>
          <w:b w:val="0"/>
          <w:i w:val="0"/>
        </w:rPr>
        <w:t>Delivery Program, Operational Plan, Long Term Financial Plan, asset management plans and relevant strategies and studies.</w:t>
      </w:r>
    </w:p>
    <w:p>
      <w:pPr>
        <w:pStyle w:val="ListBullet"/>
        <w:keepNext/>
        <w:spacing w:after="40"/>
      </w:pPr>
      <w:r>
        <w:rPr>
          <w:b w:val="0"/>
          <w:i w:val="0"/>
        </w:rPr>
        <w:t>Growth and development data: approvals, subdivision certificates, urban release areas and planning proposals.</w:t>
      </w:r>
    </w:p>
    <w:p>
      <w:pPr>
        <w:pStyle w:val="ListBullet"/>
        <w:spacing w:after="40"/>
      </w:pPr>
      <w:r>
        <w:rPr>
          <w:b w:val="0"/>
          <w:i w:val="0"/>
        </w:rPr>
        <w:t>Extractive industry approvals and reported haulage volumes, and road network, pavement and condition data (GIS where available).</w:t>
      </w:r>
    </w:p>
    <w:p>
      <w:pPr>
        <w:keepNext/>
        <w:spacing w:before="120" w:after="40"/>
      </w:pPr>
      <w:r>
        <w:rPr>
          <w:b/>
          <w:i w:val="0"/>
          <w:color w:val="C9A227"/>
          <w:sz w:val="21"/>
        </w:rPr>
        <w:t>Assumptions</w:t>
      </w:r>
    </w:p>
    <w:p>
      <w:pPr>
        <w:pStyle w:val="ListBullet"/>
        <w:keepNext/>
        <w:spacing w:after="40"/>
      </w:pPr>
      <w:r>
        <w:rPr>
          <w:b w:val="0"/>
          <w:i w:val="0"/>
        </w:rPr>
        <w:t>Up to six project meetings (inception and progress), held online except the inception site visit and one Councillor briefing.</w:t>
      </w:r>
    </w:p>
    <w:p>
      <w:pPr>
        <w:pStyle w:val="ListBullet"/>
        <w:keepNext/>
        <w:spacing w:after="40"/>
      </w:pPr>
      <w:r>
        <w:rPr>
          <w:b w:val="0"/>
          <w:i w:val="0"/>
        </w:rPr>
        <w:t>About 70 transport, pathway and stormwater works items, and a community, recreation and open space schedule of similar size to 2019.</w:t>
      </w:r>
    </w:p>
    <w:p>
      <w:pPr>
        <w:pStyle w:val="ListBullet"/>
        <w:keepNext/>
        <w:spacing w:after="40"/>
      </w:pPr>
      <w:r>
        <w:rPr>
          <w:b w:val="0"/>
          <w:i w:val="0"/>
        </w:rPr>
        <w:t>One round of consolidated Council comment on each draft; one public exhibition of at least 28 days.</w:t>
      </w:r>
    </w:p>
    <w:p>
      <w:pPr>
        <w:pStyle w:val="ListBullet"/>
        <w:spacing w:after="40"/>
      </w:pPr>
      <w:r>
        <w:rPr>
          <w:b w:val="0"/>
          <w:i w:val="0"/>
        </w:rPr>
        <w:t>Council places the plans on exhibition, notifies stakeholders and manages the submission process.</w:t>
      </w:r>
    </w:p>
    <w:p>
      <w:r>
        <w:rPr>
          <w:b w:val="0"/>
          <w:i w:val="0"/>
        </w:rPr>
        <w:t>JCE is entitled to rely on the accuracy and completeness of information provided by Council or by others on Council's behalf.</w:t>
      </w:r>
    </w:p>
    <w:p>
      <w:pPr>
        <w:keepNext/>
        <w:spacing w:before="240" w:after="80"/>
        <w:pBdr>
          <w:bottom w:val="single" w:sz="8" w:space="1" w:color="C9A227"/>
        </w:pBdr>
      </w:pPr>
      <w:r>
        <w:rPr>
          <w:b/>
          <w:i w:val="0"/>
          <w:color w:val="000000"/>
          <w:sz w:val="26"/>
        </w:rPr>
        <w:t>6. Program</w:t>
      </w:r>
    </w:p>
    <w:p>
      <w:pPr>
        <w:keepNext/>
      </w:pPr>
      <w:r>
        <w:rPr>
          <w:b w:val="0"/>
          <w:i w:val="0"/>
        </w:rPr>
        <w:t>The indicative program assumes award in early November 2026. JCE will align it with Council's target dates at inception. It excludes Council review periods, Council meeting cycles and the exhibition period.</w:t>
      </w:r>
    </w:p>
    <w:tbl>
      <w:tblPr>
        <w:tblStyle w:val="TableGrid"/>
        <w:tblW w:type="auto" w:w="0"/>
        <w:tblLayout w:type="fixed"/>
        <w:tblLook w:firstColumn="1" w:firstRow="1" w:lastColumn="0" w:lastRow="0" w:noHBand="0" w:noVBand="1" w:val="04A0"/>
        <w:tblLayout w:type="fixed"/>
      </w:tblPr>
      <w:tblGrid>
        <w:gridCol w:w="4195"/>
        <w:gridCol w:w="601"/>
        <w:gridCol w:w="601"/>
        <w:gridCol w:w="601"/>
        <w:gridCol w:w="601"/>
        <w:gridCol w:w="601"/>
        <w:gridCol w:w="601"/>
        <w:gridCol w:w="601"/>
        <w:gridCol w:w="601"/>
        <w:gridCol w:w="601"/>
      </w:tblGrid>
      <w:tr>
        <w:trPr>
          <w:cantSplit/>
        </w:trPr>
        <w:tc>
          <w:tcPr>
            <w:tcW w:type="dxa" w:w="4195"/>
            <w:shd w:val="clear" w:color="auto" w:fill="1A1A1A"/>
          </w:tcPr>
          <w:p>
            <w:pPr>
              <w:keepNext/>
              <w:spacing w:after="0"/>
            </w:pPr>
            <w:r/>
            <w:r>
              <w:rPr>
                <w:b/>
                <w:i w:val="0"/>
                <w:color w:val="FFFFFF"/>
                <w:sz w:val="16"/>
              </w:rPr>
              <w:t>Stage (2026 to 2027)</w:t>
            </w:r>
          </w:p>
        </w:tc>
        <w:tc>
          <w:tcPr>
            <w:tcW w:type="dxa" w:w="601"/>
            <w:shd w:val="clear" w:color="auto" w:fill="1A1A1A"/>
          </w:tcPr>
          <w:p>
            <w:pPr>
              <w:keepNext/>
              <w:spacing w:after="0"/>
            </w:pPr>
            <w:r/>
            <w:r>
              <w:rPr>
                <w:b/>
                <w:i w:val="0"/>
                <w:color w:val="FFFFFF"/>
                <w:sz w:val="16"/>
              </w:rPr>
              <w:t>Nov</w:t>
            </w:r>
          </w:p>
        </w:tc>
        <w:tc>
          <w:tcPr>
            <w:tcW w:type="dxa" w:w="601"/>
            <w:shd w:val="clear" w:color="auto" w:fill="1A1A1A"/>
          </w:tcPr>
          <w:p>
            <w:pPr>
              <w:keepNext/>
              <w:spacing w:after="0"/>
            </w:pPr>
            <w:r/>
            <w:r>
              <w:rPr>
                <w:b/>
                <w:i w:val="0"/>
                <w:color w:val="FFFFFF"/>
                <w:sz w:val="16"/>
              </w:rPr>
              <w:t>Dec</w:t>
            </w:r>
          </w:p>
        </w:tc>
        <w:tc>
          <w:tcPr>
            <w:tcW w:type="dxa" w:w="601"/>
            <w:shd w:val="clear" w:color="auto" w:fill="1A1A1A"/>
          </w:tcPr>
          <w:p>
            <w:pPr>
              <w:keepNext/>
              <w:spacing w:after="0"/>
            </w:pPr>
            <w:r/>
            <w:r>
              <w:rPr>
                <w:b/>
                <w:i w:val="0"/>
                <w:color w:val="FFFFFF"/>
                <w:sz w:val="16"/>
              </w:rPr>
              <w:t>Jan</w:t>
            </w:r>
          </w:p>
        </w:tc>
        <w:tc>
          <w:tcPr>
            <w:tcW w:type="dxa" w:w="601"/>
            <w:shd w:val="clear" w:color="auto" w:fill="1A1A1A"/>
          </w:tcPr>
          <w:p>
            <w:pPr>
              <w:keepNext/>
              <w:spacing w:after="0"/>
            </w:pPr>
            <w:r/>
            <w:r>
              <w:rPr>
                <w:b/>
                <w:i w:val="0"/>
                <w:color w:val="FFFFFF"/>
                <w:sz w:val="16"/>
              </w:rPr>
              <w:t>Feb</w:t>
            </w:r>
          </w:p>
        </w:tc>
        <w:tc>
          <w:tcPr>
            <w:tcW w:type="dxa" w:w="601"/>
            <w:shd w:val="clear" w:color="auto" w:fill="1A1A1A"/>
          </w:tcPr>
          <w:p>
            <w:pPr>
              <w:keepNext/>
              <w:spacing w:after="0"/>
            </w:pPr>
            <w:r/>
            <w:r>
              <w:rPr>
                <w:b/>
                <w:i w:val="0"/>
                <w:color w:val="FFFFFF"/>
                <w:sz w:val="16"/>
              </w:rPr>
              <w:t>Mar</w:t>
            </w:r>
          </w:p>
        </w:tc>
        <w:tc>
          <w:tcPr>
            <w:tcW w:type="dxa" w:w="601"/>
            <w:shd w:val="clear" w:color="auto" w:fill="1A1A1A"/>
          </w:tcPr>
          <w:p>
            <w:pPr>
              <w:keepNext/>
              <w:spacing w:after="0"/>
            </w:pPr>
            <w:r/>
            <w:r>
              <w:rPr>
                <w:b/>
                <w:i w:val="0"/>
                <w:color w:val="FFFFFF"/>
                <w:sz w:val="16"/>
              </w:rPr>
              <w:t>Apr</w:t>
            </w:r>
          </w:p>
        </w:tc>
        <w:tc>
          <w:tcPr>
            <w:tcW w:type="dxa" w:w="601"/>
            <w:shd w:val="clear" w:color="auto" w:fill="1A1A1A"/>
          </w:tcPr>
          <w:p>
            <w:pPr>
              <w:keepNext/>
              <w:spacing w:after="0"/>
            </w:pPr>
            <w:r/>
            <w:r>
              <w:rPr>
                <w:b/>
                <w:i w:val="0"/>
                <w:color w:val="FFFFFF"/>
                <w:sz w:val="16"/>
              </w:rPr>
              <w:t>May</w:t>
            </w:r>
          </w:p>
        </w:tc>
        <w:tc>
          <w:tcPr>
            <w:tcW w:type="dxa" w:w="601"/>
            <w:shd w:val="clear" w:color="auto" w:fill="1A1A1A"/>
          </w:tcPr>
          <w:p>
            <w:pPr>
              <w:keepNext/>
              <w:spacing w:after="0"/>
            </w:pPr>
            <w:r/>
            <w:r>
              <w:rPr>
                <w:b/>
                <w:i w:val="0"/>
                <w:color w:val="FFFFFF"/>
                <w:sz w:val="16"/>
              </w:rPr>
              <w:t>Jun</w:t>
            </w:r>
          </w:p>
        </w:tc>
        <w:tc>
          <w:tcPr>
            <w:tcW w:type="dxa" w:w="601"/>
            <w:shd w:val="clear" w:color="auto" w:fill="1A1A1A"/>
          </w:tcPr>
          <w:p>
            <w:pPr>
              <w:keepNext/>
              <w:spacing w:after="0"/>
            </w:pPr>
            <w:r/>
            <w:r>
              <w:rPr>
                <w:b/>
                <w:i w:val="0"/>
                <w:color w:val="FFFFFF"/>
                <w:sz w:val="16"/>
              </w:rPr>
              <w:t>Jul</w:t>
            </w:r>
          </w:p>
        </w:tc>
      </w:tr>
      <w:tr>
        <w:trPr>
          <w:cantSplit/>
        </w:trPr>
        <w:tc>
          <w:tcPr>
            <w:tcW w:type="dxa" w:w="4195"/>
          </w:tcPr>
          <w:p>
            <w:pPr>
              <w:keepNext/>
              <w:spacing w:after="0"/>
            </w:pPr>
            <w:r/>
            <w:r>
              <w:rPr>
                <w:b w:val="0"/>
                <w:i w:val="0"/>
                <w:sz w:val="16"/>
              </w:rPr>
              <w:t>Stage 1  Inception, review, site inspection</w:t>
            </w:r>
          </w:p>
        </w:tc>
        <w:tc>
          <w:tcPr>
            <w:tcW w:type="dxa" w:w="601"/>
            <w:shd w:val="clear" w:color="auto" w:fill="C9A227"/>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r>
      <w:tr>
        <w:trPr>
          <w:cantSplit/>
        </w:trPr>
        <w:tc>
          <w:tcPr>
            <w:tcW w:type="dxa" w:w="4195"/>
          </w:tcPr>
          <w:p>
            <w:pPr>
              <w:keepNext/>
              <w:spacing w:after="0"/>
            </w:pPr>
            <w:r/>
            <w:r>
              <w:rPr>
                <w:b w:val="0"/>
                <w:i w:val="0"/>
                <w:sz w:val="16"/>
              </w:rPr>
              <w:t>Stage 2  Growth, needs, heavy haulage (HP1)</w:t>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r>
      <w:tr>
        <w:trPr>
          <w:cantSplit/>
        </w:trPr>
        <w:tc>
          <w:tcPr>
            <w:tcW w:type="dxa" w:w="4195"/>
          </w:tcPr>
          <w:p>
            <w:pPr>
              <w:keepNext/>
              <w:spacing w:after="0"/>
            </w:pPr>
            <w:r/>
            <w:r>
              <w:rPr>
                <w:b w:val="0"/>
                <w:i w:val="0"/>
                <w:sz w:val="16"/>
              </w:rPr>
              <w:t>Stage 3  Works schedule and costs (HP2)</w:t>
            </w:r>
          </w:p>
        </w:tc>
        <w:tc>
          <w:tcPr>
            <w:tcW w:type="dxa" w:w="601"/>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r>
      <w:tr>
        <w:trPr>
          <w:cantSplit/>
        </w:trPr>
        <w:tc>
          <w:tcPr>
            <w:tcW w:type="dxa" w:w="4195"/>
          </w:tcPr>
          <w:p>
            <w:pPr>
              <w:keepNext/>
              <w:spacing w:after="0"/>
            </w:pPr>
            <w:r/>
            <w:r>
              <w:rPr>
                <w:b w:val="0"/>
                <w:i w:val="0"/>
                <w:sz w:val="16"/>
              </w:rPr>
              <w:t>Stage 4  Draft plans, report (HP3)</w:t>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r>
      <w:tr>
        <w:trPr>
          <w:cantSplit/>
        </w:trPr>
        <w:tc>
          <w:tcPr>
            <w:tcW w:type="dxa" w:w="4195"/>
          </w:tcPr>
          <w:p>
            <w:pPr>
              <w:keepNext/>
              <w:spacing w:after="0"/>
            </w:pPr>
            <w:r/>
            <w:r>
              <w:rPr>
                <w:b w:val="0"/>
                <w:i w:val="0"/>
                <w:sz w:val="16"/>
              </w:rPr>
              <w:t>Stage 5  Exhibition, finalisation, adoption</w:t>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r>
      <w:tr>
        <w:trPr>
          <w:cantSplit/>
        </w:trPr>
        <w:tc>
          <w:tcPr>
            <w:tcW w:type="dxa" w:w="4195"/>
          </w:tcPr>
          <w:p>
            <w:pPr>
              <w:keepNext/>
              <w:spacing w:after="0"/>
            </w:pPr>
            <w:r/>
            <w:r>
              <w:rPr>
                <w:b w:val="0"/>
                <w:i w:val="0"/>
                <w:sz w:val="16"/>
              </w:rPr>
              <w:t>Stage 6  Framework for future plans</w:t>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r>
    </w:tbl>
    <w:p>
      <w:r>
        <w:rPr>
          <w:b w:val="0"/>
          <w:i/>
          <w:color w:val="555555"/>
          <w:sz w:val="16"/>
        </w:rPr>
        <w:t>Gold bars show indicative timing. HP1 to HP3 are Council hold points.</w:t>
      </w:r>
    </w:p>
    <w:p>
      <w:pPr>
        <w:keepNext/>
        <w:spacing w:before="240" w:after="80"/>
        <w:pBdr>
          <w:bottom w:val="single" w:sz="8" w:space="1" w:color="C9A227"/>
        </w:pBdr>
      </w:pPr>
      <w:r>
        <w:rPr>
          <w:b/>
          <w:i w:val="0"/>
          <w:color w:val="000000"/>
          <w:sz w:val="26"/>
        </w:rPr>
        <w:t>7. Team and experience</w:t>
      </w:r>
    </w:p>
    <w:p>
      <w:pPr>
        <w:keepNext/>
        <w:spacing w:before="120" w:after="40"/>
      </w:pPr>
      <w:r>
        <w:rPr>
          <w:b/>
          <w:i w:val="0"/>
          <w:color w:val="C9A227"/>
          <w:sz w:val="21"/>
        </w:rPr>
        <w:t>Jayden Callen, Project Director and Lead Engineer (JCE)</w:t>
      </w:r>
    </w:p>
    <w:p>
      <w:pPr>
        <w:keepNext/>
      </w:pPr>
      <w:r>
        <w:rPr>
          <w:b w:val="0"/>
          <w:i w:val="0"/>
        </w:rPr>
        <w:t>BEng (Hons) Civil, Deakin University; MIEAust (EA 11036201). Accountable for delivery, team coordination, the works schedule, cost estimates, the heavy haulage review and all engineering content. Relevant experience:</w:t>
      </w:r>
    </w:p>
    <w:p>
      <w:pPr>
        <w:pStyle w:val="ListBullet"/>
        <w:keepNext/>
        <w:spacing w:after="40"/>
      </w:pPr>
      <w:r>
        <w:rPr>
          <w:b/>
          <w:i w:val="0"/>
        </w:rPr>
        <w:t xml:space="preserve">Design and team management. </w:t>
      </w:r>
      <w:r>
        <w:rPr>
          <w:b w:val="0"/>
          <w:i w:val="0"/>
        </w:rPr>
        <w:t>Civil Design Manager and Senior Engineer, Langtree Consulting Engineers, Townsville (03/2025 to 05/2026): managed four civil designers, coordinated flood modelling, electrical and hydraulic subconsultants into joint packages, and prepared fee proposals, engineer's estimates and bills of quantities.</w:t>
      </w:r>
    </w:p>
    <w:p>
      <w:pPr>
        <w:pStyle w:val="ListBullet"/>
        <w:keepNext/>
        <w:spacing w:after="40"/>
      </w:pPr>
      <w:r>
        <w:rPr>
          <w:b/>
          <w:i w:val="0"/>
        </w:rPr>
        <w:t xml:space="preserve">Regional and remote delivery. </w:t>
      </w:r>
      <w:r>
        <w:rPr>
          <w:b w:val="0"/>
          <w:i w:val="0"/>
        </w:rPr>
        <w:t>Civil design management, subconsultant coordination, site inspections and engineering services reports for subdivisions in the remote Cape York communities of Aurukun, Pormpuraaw and Napranum (Langtree).</w:t>
      </w:r>
    </w:p>
    <w:p>
      <w:pPr>
        <w:pStyle w:val="ListBullet"/>
        <w:keepNext/>
        <w:spacing w:after="40"/>
      </w:pPr>
      <w:r>
        <w:rPr>
          <w:b/>
          <w:i w:val="0"/>
        </w:rPr>
        <w:t xml:space="preserve">Infrastructure programs. </w:t>
      </w:r>
      <w:r>
        <w:rPr>
          <w:b w:val="0"/>
          <w:i w:val="0"/>
        </w:rPr>
        <w:t>Senior Engineer and Design Manager, SCP Consulting (06/2023 to 03/2025): primary contact for tier-one contractors on Defence projects, including the North Queensland Mid-Term Refresh at RAAF Base Townsville, Townsville Field Training Area and HMAS Cairns (about $104 million combined).</w:t>
      </w:r>
    </w:p>
    <w:p>
      <w:pPr>
        <w:pStyle w:val="ListBullet"/>
        <w:keepNext/>
        <w:spacing w:after="40"/>
      </w:pPr>
      <w:r>
        <w:rPr>
          <w:b/>
          <w:i w:val="0"/>
        </w:rPr>
        <w:t xml:space="preserve">Roads, pavements and drainage. </w:t>
      </w:r>
      <w:r>
        <w:rPr>
          <w:b w:val="0"/>
          <w:i w:val="0"/>
        </w:rPr>
        <w:t>Road geometry to the Austroads guides with Transport for NSW supplements; pavement design with CIRCLY; stormwater in DRAINS and MUSIC X; flood impact assessment to ARR 2019.</w:t>
      </w:r>
    </w:p>
    <w:p>
      <w:pPr>
        <w:pStyle w:val="ListBullet"/>
        <w:spacing w:after="40"/>
      </w:pPr>
      <w:r>
        <w:rPr>
          <w:b/>
          <w:i w:val="0"/>
        </w:rPr>
        <w:t xml:space="preserve">Council work. </w:t>
      </w:r>
      <w:r>
        <w:rPr>
          <w:b w:val="0"/>
          <w:i w:val="0"/>
        </w:rPr>
        <w:t>Has worked for a regional council in Far North Queensland, including shortlisting consultants for a council tender. JCE also prepared the flood levee inspection and certification report for 6887 Oxley Highway, Gunnedah (2026), for a development application under Gunnedah LEP 2012.</w:t>
      </w:r>
    </w:p>
    <w:p>
      <w:pPr>
        <w:keepNext/>
        <w:spacing w:before="120" w:after="40"/>
      </w:pPr>
      <w:r>
        <w:rPr>
          <w:b/>
          <w:i w:val="0"/>
          <w:color w:val="C9A227"/>
          <w:sz w:val="21"/>
        </w:rPr>
        <w:t>Lead contributions planner (planning partner)</w:t>
      </w:r>
    </w:p>
    <w:p>
      <w:r>
        <w:rPr>
          <w:b w:val="0"/>
          <w:i w:val="0"/>
        </w:rPr>
        <w:t>[TBC - Jayden: firm, principal's name, qualifications and two or three contributions plan projects with referees, from the quotes due 15/10/2026.] Responsible for growth forecasts, nexus, apportionment, plan drafting, IPART threshold check and exhibition.</w:t>
      </w:r>
    </w:p>
    <w:p>
      <w:pPr>
        <w:keepNext/>
        <w:spacing w:before="120" w:after="40"/>
      </w:pPr>
      <w:r>
        <w:rPr>
          <w:b/>
          <w:i w:val="0"/>
          <w:color w:val="C9A227"/>
          <w:sz w:val="21"/>
        </w:rPr>
        <w:t>Cost planner (quantity surveyor)</w:t>
      </w:r>
    </w:p>
    <w:p>
      <w:r>
        <w:rPr>
          <w:b w:val="0"/>
          <w:i w:val="0"/>
        </w:rPr>
        <w:t>[TBC - Jayden: firm and estimator, from the quotes.] Responsible for estimates for community, recreation and open space facilities.</w:t>
      </w:r>
    </w:p>
    <w:p>
      <w:pPr>
        <w:keepNext/>
        <w:spacing w:before="120" w:after="40"/>
      </w:pPr>
      <w:r>
        <w:rPr>
          <w:b/>
          <w:i w:val="0"/>
          <w:color w:val="C9A227"/>
          <w:sz w:val="21"/>
        </w:rPr>
        <w:t>Sign-off</w:t>
      </w:r>
    </w:p>
    <w:p>
      <w:r>
        <w:rPr>
          <w:b w:val="0"/>
          <w:i w:val="0"/>
        </w:rPr>
        <w:t>This is a planning engagement with no engineering certification requirement. Engineering content is prepared and verified by JCE's Director, and planning content by the planning partner's principal.</w:t>
      </w:r>
    </w:p>
    <w:p>
      <w:pPr>
        <w:keepNext/>
        <w:spacing w:before="120" w:after="40"/>
      </w:pPr>
      <w:r>
        <w:rPr>
          <w:b/>
          <w:i w:val="0"/>
          <w:color w:val="C9A227"/>
          <w:sz w:val="21"/>
        </w:rPr>
        <w:t>Referees</w:t>
      </w:r>
    </w:p>
    <w:p>
      <w:pPr>
        <w:pStyle w:val="ListBullet"/>
        <w:keepNext/>
        <w:spacing w:after="40"/>
      </w:pPr>
      <w:r>
        <w:rPr>
          <w:b w:val="0"/>
          <w:i w:val="0"/>
        </w:rPr>
        <w:t>Brett Langtree, Director and Principal Civil Engineer, Langtree Consulting Engineers. 0400 699 979, brett@langtreeconsulting.com.au.</w:t>
      </w:r>
    </w:p>
    <w:p>
      <w:pPr>
        <w:pStyle w:val="ListBullet"/>
        <w:keepNext/>
        <w:spacing w:after="40"/>
      </w:pPr>
      <w:r>
        <w:rPr>
          <w:b w:val="0"/>
          <w:i w:val="0"/>
        </w:rPr>
        <w:t>Livio Chiarot FIEAust, Director, SCP Consulting. 0418 150 028, livio.chiarot@scpconsult.com.au.</w:t>
      </w:r>
    </w:p>
    <w:p>
      <w:pPr>
        <w:pStyle w:val="ListBullet"/>
        <w:spacing w:after="40"/>
      </w:pPr>
      <w:r>
        <w:rPr>
          <w:b w:val="0"/>
          <w:i w:val="0"/>
        </w:rPr>
        <w:t>Planning partner referees: [TBC - Jayden, from the partner's quote].</w:t>
      </w:r>
    </w:p>
    <w:p>
      <w:pPr>
        <w:keepNext/>
        <w:spacing w:before="240" w:after="80"/>
        <w:pBdr>
          <w:bottom w:val="single" w:sz="8" w:space="1" w:color="C9A227"/>
        </w:pBdr>
      </w:pPr>
      <w:r>
        <w:rPr>
          <w:b/>
          <w:i w:val="0"/>
          <w:color w:val="000000"/>
          <w:sz w:val="26"/>
        </w:rPr>
        <w:t>8. Fee schedule</w:t>
      </w:r>
    </w:p>
    <w:p>
      <w:pPr>
        <w:keepNext/>
      </w:pPr>
      <w:r>
        <w:rPr>
          <w:b w:val="0"/>
          <w:i w:val="0"/>
        </w:rPr>
        <w:t>JCE's services are offered as a lump sum. Sub-consultant fees are shown as provisional sums until their quotes are received. All amounts exclude GST.</w:t>
      </w:r>
    </w:p>
    <w:tbl>
      <w:tblPr>
        <w:tblStyle w:val="TableGrid"/>
        <w:tblW w:type="auto" w:w="0"/>
        <w:jc w:val="center"/>
        <w:tblLayout w:type="fixed"/>
        <w:tblLook w:firstColumn="1" w:firstRow="1" w:lastColumn="0" w:lastRow="0" w:noHBand="0" w:noVBand="1" w:val="04A0"/>
        <w:tblLayout w:type="fixed"/>
      </w:tblPr>
      <w:tblGrid>
        <w:gridCol w:w="1247"/>
        <w:gridCol w:w="6407"/>
        <w:gridCol w:w="1984"/>
      </w:tblGrid>
      <w:tr>
        <w:trPr>
          <w:cantSplit/>
        </w:trPr>
        <w:tc>
          <w:tcPr>
            <w:tcW w:type="dxa" w:w="1247"/>
            <w:shd w:val="clear" w:color="auto" w:fill="1A1A1A"/>
          </w:tcPr>
          <w:p>
            <w:pPr>
              <w:keepNext/>
              <w:spacing w:after="20"/>
            </w:pPr>
            <w:r/>
            <w:r>
              <w:rPr>
                <w:b/>
                <w:i w:val="0"/>
                <w:color w:val="FFFFFF"/>
                <w:sz w:val="18"/>
              </w:rPr>
              <w:t>Item</w:t>
            </w:r>
          </w:p>
        </w:tc>
        <w:tc>
          <w:tcPr>
            <w:tcW w:type="dxa" w:w="6406"/>
            <w:shd w:val="clear" w:color="auto" w:fill="1A1A1A"/>
          </w:tcPr>
          <w:p>
            <w:pPr>
              <w:keepNext/>
              <w:spacing w:after="20"/>
            </w:pPr>
            <w:r/>
            <w:r>
              <w:rPr>
                <w:b/>
                <w:i w:val="0"/>
                <w:color w:val="FFFFFF"/>
                <w:sz w:val="18"/>
              </w:rPr>
              <w:t>Description</w:t>
            </w:r>
          </w:p>
        </w:tc>
        <w:tc>
          <w:tcPr>
            <w:tcW w:type="dxa" w:w="1984"/>
            <w:shd w:val="clear" w:color="auto" w:fill="1A1A1A"/>
          </w:tcPr>
          <w:p>
            <w:pPr>
              <w:keepNext/>
              <w:spacing w:after="20"/>
            </w:pPr>
            <w:r/>
            <w:r>
              <w:rPr>
                <w:b/>
                <w:i w:val="0"/>
                <w:color w:val="FFFFFF"/>
                <w:sz w:val="18"/>
              </w:rPr>
              <w:t>Fee (excl. GST)</w:t>
            </w:r>
          </w:p>
        </w:tc>
      </w:tr>
      <w:tr>
        <w:trPr>
          <w:cantSplit/>
        </w:trPr>
        <w:tc>
          <w:tcPr>
            <w:tcW w:type="dxa" w:w="1247"/>
          </w:tcPr>
          <w:p>
            <w:pPr>
              <w:keepNext/>
              <w:spacing w:after="20"/>
            </w:pPr>
            <w:r/>
            <w:r>
              <w:rPr>
                <w:b w:val="0"/>
                <w:i w:val="0"/>
                <w:sz w:val="18"/>
              </w:rPr>
              <w:t>PM</w:t>
            </w:r>
          </w:p>
        </w:tc>
        <w:tc>
          <w:tcPr>
            <w:tcW w:type="dxa" w:w="6406"/>
          </w:tcPr>
          <w:p>
            <w:pPr>
              <w:keepNext/>
              <w:spacing w:after="20"/>
            </w:pPr>
            <w:r/>
            <w:r>
              <w:rPr>
                <w:b w:val="0"/>
                <w:i w:val="0"/>
                <w:sz w:val="18"/>
              </w:rPr>
              <w:t>Project management, meetings, coordination and QA (all stages)</w:t>
            </w:r>
          </w:p>
        </w:tc>
        <w:tc>
          <w:tcPr>
            <w:tcW w:type="dxa" w:w="1984"/>
          </w:tcPr>
          <w:p>
            <w:pPr>
              <w:keepNext/>
              <w:spacing w:after="20"/>
              <w:jc w:val="right"/>
            </w:pPr>
            <w:r/>
            <w:r>
              <w:rPr>
                <w:b w:val="0"/>
                <w:i w:val="0"/>
                <w:sz w:val="18"/>
              </w:rPr>
              <w:t>$7,160.00</w:t>
            </w:r>
          </w:p>
        </w:tc>
      </w:tr>
      <w:tr>
        <w:trPr>
          <w:cantSplit/>
        </w:trPr>
        <w:tc>
          <w:tcPr>
            <w:tcW w:type="dxa" w:w="1247"/>
          </w:tcPr>
          <w:p>
            <w:pPr>
              <w:keepNext/>
              <w:spacing w:after="20"/>
            </w:pPr>
            <w:r/>
            <w:r>
              <w:rPr>
                <w:b w:val="0"/>
                <w:i w:val="0"/>
                <w:sz w:val="18"/>
              </w:rPr>
              <w:t>Stage 1</w:t>
            </w:r>
          </w:p>
        </w:tc>
        <w:tc>
          <w:tcPr>
            <w:tcW w:type="dxa" w:w="6406"/>
          </w:tcPr>
          <w:p>
            <w:pPr>
              <w:keepNext/>
              <w:spacing w:after="20"/>
            </w:pPr>
            <w:r/>
            <w:r>
              <w:rPr>
                <w:b w:val="0"/>
                <w:i w:val="0"/>
                <w:sz w:val="18"/>
              </w:rPr>
              <w:t>Inception, review of the 2019 Plan and site inspection</w:t>
            </w:r>
          </w:p>
        </w:tc>
        <w:tc>
          <w:tcPr>
            <w:tcW w:type="dxa" w:w="1984"/>
          </w:tcPr>
          <w:p>
            <w:pPr>
              <w:keepNext/>
              <w:spacing w:after="20"/>
              <w:jc w:val="right"/>
            </w:pPr>
            <w:r/>
            <w:r>
              <w:rPr>
                <w:b w:val="0"/>
                <w:i w:val="0"/>
                <w:sz w:val="18"/>
              </w:rPr>
              <w:t>$8,400.00</w:t>
            </w:r>
          </w:p>
        </w:tc>
      </w:tr>
      <w:tr>
        <w:trPr>
          <w:cantSplit/>
        </w:trPr>
        <w:tc>
          <w:tcPr>
            <w:tcW w:type="dxa" w:w="1247"/>
          </w:tcPr>
          <w:p>
            <w:pPr>
              <w:keepNext/>
              <w:spacing w:after="20"/>
            </w:pPr>
            <w:r/>
            <w:r>
              <w:rPr>
                <w:b w:val="0"/>
                <w:i w:val="0"/>
                <w:sz w:val="18"/>
              </w:rPr>
              <w:t>Stage 2</w:t>
            </w:r>
          </w:p>
        </w:tc>
        <w:tc>
          <w:tcPr>
            <w:tcW w:type="dxa" w:w="6406"/>
          </w:tcPr>
          <w:p>
            <w:pPr>
              <w:keepNext/>
              <w:spacing w:after="20"/>
            </w:pPr>
            <w:r/>
            <w:r>
              <w:rPr>
                <w:b w:val="0"/>
                <w:i w:val="0"/>
                <w:sz w:val="18"/>
              </w:rPr>
              <w:t>Growth, infrastructure needs and heavy haulage review</w:t>
            </w:r>
          </w:p>
        </w:tc>
        <w:tc>
          <w:tcPr>
            <w:tcW w:type="dxa" w:w="1984"/>
          </w:tcPr>
          <w:p>
            <w:pPr>
              <w:keepNext/>
              <w:spacing w:after="20"/>
              <w:jc w:val="right"/>
            </w:pPr>
            <w:r/>
            <w:r>
              <w:rPr>
                <w:b w:val="0"/>
                <w:i w:val="0"/>
                <w:sz w:val="18"/>
              </w:rPr>
              <w:t>$10,240.00</w:t>
            </w:r>
          </w:p>
        </w:tc>
      </w:tr>
      <w:tr>
        <w:trPr>
          <w:cantSplit/>
        </w:trPr>
        <w:tc>
          <w:tcPr>
            <w:tcW w:type="dxa" w:w="1247"/>
          </w:tcPr>
          <w:p>
            <w:pPr>
              <w:keepNext/>
              <w:spacing w:after="20"/>
            </w:pPr>
            <w:r/>
            <w:r>
              <w:rPr>
                <w:b w:val="0"/>
                <w:i w:val="0"/>
                <w:sz w:val="18"/>
              </w:rPr>
              <w:t>Stage 3</w:t>
            </w:r>
          </w:p>
        </w:tc>
        <w:tc>
          <w:tcPr>
            <w:tcW w:type="dxa" w:w="6406"/>
          </w:tcPr>
          <w:p>
            <w:pPr>
              <w:keepNext/>
              <w:spacing w:after="20"/>
            </w:pPr>
            <w:r/>
            <w:r>
              <w:rPr>
                <w:b w:val="0"/>
                <w:i w:val="0"/>
                <w:sz w:val="18"/>
              </w:rPr>
              <w:t>Works schedule, cost estimates and mapping</w:t>
            </w:r>
          </w:p>
        </w:tc>
        <w:tc>
          <w:tcPr>
            <w:tcW w:type="dxa" w:w="1984"/>
          </w:tcPr>
          <w:p>
            <w:pPr>
              <w:keepNext/>
              <w:spacing w:after="20"/>
              <w:jc w:val="right"/>
            </w:pPr>
            <w:r/>
            <w:r>
              <w:rPr>
                <w:b w:val="0"/>
                <w:i w:val="0"/>
                <w:sz w:val="18"/>
              </w:rPr>
              <w:t>$25,667.50</w:t>
            </w:r>
          </w:p>
        </w:tc>
      </w:tr>
      <w:tr>
        <w:trPr>
          <w:cantSplit/>
        </w:trPr>
        <w:tc>
          <w:tcPr>
            <w:tcW w:type="dxa" w:w="1247"/>
          </w:tcPr>
          <w:p>
            <w:pPr>
              <w:keepNext/>
              <w:spacing w:after="20"/>
            </w:pPr>
            <w:r/>
            <w:r>
              <w:rPr>
                <w:b w:val="0"/>
                <w:i w:val="0"/>
                <w:sz w:val="18"/>
              </w:rPr>
              <w:t>Stage 4</w:t>
            </w:r>
          </w:p>
        </w:tc>
        <w:tc>
          <w:tcPr>
            <w:tcW w:type="dxa" w:w="6406"/>
          </w:tcPr>
          <w:p>
            <w:pPr>
              <w:keepNext/>
              <w:spacing w:after="20"/>
            </w:pPr>
            <w:r/>
            <w:r>
              <w:rPr>
                <w:b w:val="0"/>
                <w:i w:val="0"/>
                <w:sz w:val="18"/>
              </w:rPr>
              <w:t>Draft plans and infrastructure background report</w:t>
            </w:r>
          </w:p>
        </w:tc>
        <w:tc>
          <w:tcPr>
            <w:tcW w:type="dxa" w:w="1984"/>
          </w:tcPr>
          <w:p>
            <w:pPr>
              <w:keepNext/>
              <w:spacing w:after="20"/>
              <w:jc w:val="right"/>
            </w:pPr>
            <w:r/>
            <w:r>
              <w:rPr>
                <w:b w:val="0"/>
                <w:i w:val="0"/>
                <w:sz w:val="18"/>
              </w:rPr>
              <w:t>$9,620.00</w:t>
            </w:r>
          </w:p>
        </w:tc>
      </w:tr>
      <w:tr>
        <w:trPr>
          <w:cantSplit/>
        </w:trPr>
        <w:tc>
          <w:tcPr>
            <w:tcW w:type="dxa" w:w="1247"/>
          </w:tcPr>
          <w:p>
            <w:pPr>
              <w:keepNext/>
              <w:spacing w:after="20"/>
            </w:pPr>
            <w:r/>
            <w:r>
              <w:rPr>
                <w:b w:val="0"/>
                <w:i w:val="0"/>
                <w:sz w:val="18"/>
              </w:rPr>
              <w:t>Stage 5</w:t>
            </w:r>
          </w:p>
        </w:tc>
        <w:tc>
          <w:tcPr>
            <w:tcW w:type="dxa" w:w="6406"/>
          </w:tcPr>
          <w:p>
            <w:pPr>
              <w:keepNext/>
              <w:spacing w:after="20"/>
            </w:pPr>
            <w:r/>
            <w:r>
              <w:rPr>
                <w:b w:val="0"/>
                <w:i w:val="0"/>
                <w:sz w:val="18"/>
              </w:rPr>
              <w:t>Public exhibition, finalisation and adoption</w:t>
            </w:r>
          </w:p>
        </w:tc>
        <w:tc>
          <w:tcPr>
            <w:tcW w:type="dxa" w:w="1984"/>
          </w:tcPr>
          <w:p>
            <w:pPr>
              <w:keepNext/>
              <w:spacing w:after="20"/>
              <w:jc w:val="right"/>
            </w:pPr>
            <w:r/>
            <w:r>
              <w:rPr>
                <w:b w:val="0"/>
                <w:i w:val="0"/>
                <w:sz w:val="18"/>
              </w:rPr>
              <w:t>$5,840.00</w:t>
            </w:r>
          </w:p>
        </w:tc>
      </w:tr>
      <w:tr>
        <w:trPr>
          <w:cantSplit/>
        </w:trPr>
        <w:tc>
          <w:tcPr>
            <w:tcW w:type="dxa" w:w="1247"/>
          </w:tcPr>
          <w:p>
            <w:pPr>
              <w:keepNext/>
              <w:spacing w:after="20"/>
            </w:pPr>
            <w:r/>
            <w:r>
              <w:rPr>
                <w:b w:val="0"/>
                <w:i w:val="0"/>
                <w:sz w:val="18"/>
              </w:rPr>
              <w:t>Stage 6</w:t>
            </w:r>
          </w:p>
        </w:tc>
        <w:tc>
          <w:tcPr>
            <w:tcW w:type="dxa" w:w="6406"/>
          </w:tcPr>
          <w:p>
            <w:pPr>
              <w:keepNext/>
              <w:spacing w:after="20"/>
            </w:pPr>
            <w:r/>
            <w:r>
              <w:rPr>
                <w:b w:val="0"/>
                <w:i w:val="0"/>
                <w:sz w:val="18"/>
              </w:rPr>
              <w:t>Framework for future contributions plans</w:t>
            </w:r>
          </w:p>
        </w:tc>
        <w:tc>
          <w:tcPr>
            <w:tcW w:type="dxa" w:w="1984"/>
          </w:tcPr>
          <w:p>
            <w:pPr>
              <w:keepNext/>
              <w:spacing w:after="20"/>
              <w:jc w:val="right"/>
            </w:pPr>
            <w:r/>
            <w:r>
              <w:rPr>
                <w:b w:val="0"/>
                <w:i w:val="0"/>
                <w:sz w:val="18"/>
              </w:rPr>
              <w:t>$3,040.00</w:t>
            </w:r>
          </w:p>
        </w:tc>
      </w:tr>
      <w:tr>
        <w:trPr>
          <w:cantSplit/>
        </w:trPr>
        <w:tc>
          <w:tcPr>
            <w:tcW w:type="dxa" w:w="1247"/>
          </w:tcPr>
          <w:p>
            <w:pPr>
              <w:keepNext/>
              <w:spacing w:after="20"/>
            </w:pPr>
            <w:r/>
            <w:r>
              <w:rPr>
                <w:b w:val="0"/>
                <w:i w:val="0"/>
                <w:sz w:val="18"/>
              </w:rPr>
              <w:t>Expenses</w:t>
            </w:r>
          </w:p>
        </w:tc>
        <w:tc>
          <w:tcPr>
            <w:tcW w:type="dxa" w:w="6406"/>
          </w:tcPr>
          <w:p>
            <w:pPr>
              <w:keepNext/>
              <w:spacing w:after="20"/>
            </w:pPr>
            <w:r/>
            <w:r>
              <w:rPr>
                <w:b w:val="0"/>
                <w:i w:val="0"/>
                <w:sz w:val="18"/>
              </w:rPr>
              <w:t>Travel and accommodation for the site inspection; sundries</w:t>
            </w:r>
          </w:p>
        </w:tc>
        <w:tc>
          <w:tcPr>
            <w:tcW w:type="dxa" w:w="1984"/>
          </w:tcPr>
          <w:p>
            <w:pPr>
              <w:keepNext/>
              <w:spacing w:after="20"/>
              <w:jc w:val="right"/>
            </w:pPr>
            <w:r/>
            <w:r>
              <w:rPr>
                <w:b w:val="0"/>
                <w:i w:val="0"/>
                <w:sz w:val="18"/>
              </w:rPr>
              <w:t>$1,700.00</w:t>
            </w:r>
          </w:p>
        </w:tc>
      </w:tr>
      <w:tr>
        <w:trPr>
          <w:cantSplit/>
        </w:trPr>
        <w:tc>
          <w:tcPr>
            <w:tcW w:type="dxa" w:w="1247"/>
          </w:tcPr>
          <w:p>
            <w:pPr>
              <w:keepNext/>
              <w:spacing w:after="20"/>
            </w:pPr>
            <w:r/>
            <w:r>
              <w:rPr>
                <w:b w:val="0"/>
                <w:i w:val="0"/>
                <w:sz w:val="18"/>
              </w:rPr>
              <w:t>Risk</w:t>
            </w:r>
          </w:p>
        </w:tc>
        <w:tc>
          <w:tcPr>
            <w:tcW w:type="dxa" w:w="6406"/>
          </w:tcPr>
          <w:p>
            <w:pPr>
              <w:keepNext/>
              <w:spacing w:after="20"/>
            </w:pPr>
            <w:r/>
            <w:r>
              <w:rPr>
                <w:b w:val="0"/>
                <w:i w:val="0"/>
                <w:sz w:val="18"/>
              </w:rPr>
              <w:t>Risk and contingency allowance (5%)</w:t>
            </w:r>
          </w:p>
        </w:tc>
        <w:tc>
          <w:tcPr>
            <w:tcW w:type="dxa" w:w="1984"/>
          </w:tcPr>
          <w:p>
            <w:pPr>
              <w:keepNext/>
              <w:spacing w:after="20"/>
              <w:jc w:val="right"/>
            </w:pPr>
            <w:r/>
            <w:r>
              <w:rPr>
                <w:b w:val="0"/>
                <w:i w:val="0"/>
                <w:sz w:val="18"/>
              </w:rPr>
              <w:t>$6,498.38</w:t>
            </w:r>
          </w:p>
        </w:tc>
      </w:tr>
      <w:tr>
        <w:trPr>
          <w:cantSplit/>
        </w:trPr>
        <w:tc>
          <w:tcPr>
            <w:tcW w:type="dxa" w:w="1247"/>
            <w:shd w:val="clear" w:color="auto" w:fill="F6EFD6"/>
          </w:tcPr>
          <w:p>
            <w:pPr>
              <w:keepNext/>
              <w:spacing w:after="20"/>
            </w:pPr>
            <w:r/>
            <w:r>
              <w:rPr>
                <w:b/>
                <w:i w:val="0"/>
                <w:sz w:val="18"/>
              </w:rPr>
            </w:r>
          </w:p>
        </w:tc>
        <w:tc>
          <w:tcPr>
            <w:tcW w:type="dxa" w:w="6406"/>
            <w:shd w:val="clear" w:color="auto" w:fill="F6EFD6"/>
          </w:tcPr>
          <w:p>
            <w:pPr>
              <w:keepNext/>
              <w:spacing w:after="20"/>
            </w:pPr>
            <w:r/>
            <w:r>
              <w:rPr>
                <w:b/>
                <w:i w:val="0"/>
                <w:sz w:val="18"/>
              </w:rPr>
              <w:t>JCE lump sum (excl. GST)</w:t>
            </w:r>
          </w:p>
        </w:tc>
        <w:tc>
          <w:tcPr>
            <w:tcW w:type="dxa" w:w="1984"/>
            <w:shd w:val="clear" w:color="auto" w:fill="F6EFD6"/>
          </w:tcPr>
          <w:p>
            <w:pPr>
              <w:keepNext/>
              <w:spacing w:after="20"/>
              <w:jc w:val="right"/>
            </w:pPr>
            <w:r/>
            <w:r>
              <w:rPr>
                <w:b/>
                <w:i w:val="0"/>
                <w:sz w:val="18"/>
              </w:rPr>
              <w:t>$78,165.88</w:t>
            </w:r>
          </w:p>
        </w:tc>
      </w:tr>
      <w:tr>
        <w:trPr>
          <w:cantSplit/>
        </w:trPr>
        <w:tc>
          <w:tcPr>
            <w:tcW w:type="dxa" w:w="1247"/>
          </w:tcPr>
          <w:p>
            <w:pPr>
              <w:keepNext/>
              <w:spacing w:after="20"/>
            </w:pPr>
            <w:r/>
            <w:r>
              <w:rPr>
                <w:b w:val="0"/>
                <w:i w:val="0"/>
                <w:sz w:val="18"/>
              </w:rPr>
              <w:t>PS 1</w:t>
            </w:r>
          </w:p>
        </w:tc>
        <w:tc>
          <w:tcPr>
            <w:tcW w:type="dxa" w:w="6406"/>
          </w:tcPr>
          <w:p>
            <w:pPr>
              <w:keepNext/>
              <w:spacing w:after="20"/>
            </w:pPr>
            <w:r/>
            <w:r>
              <w:rPr>
                <w:b w:val="0"/>
                <w:i w:val="0"/>
                <w:sz w:val="18"/>
              </w:rPr>
              <w:t>Provisional sum: planning partner (contributions planning), including JCE coordination</w:t>
            </w:r>
          </w:p>
        </w:tc>
        <w:tc>
          <w:tcPr>
            <w:tcW w:type="dxa" w:w="1984"/>
          </w:tcPr>
          <w:p>
            <w:pPr>
              <w:keepNext/>
              <w:spacing w:after="20"/>
              <w:jc w:val="right"/>
            </w:pPr>
            <w:r/>
            <w:r>
              <w:rPr>
                <w:b w:val="0"/>
                <w:i w:val="0"/>
                <w:sz w:val="18"/>
              </w:rPr>
              <w:t>$49,500.00</w:t>
            </w:r>
          </w:p>
        </w:tc>
      </w:tr>
      <w:tr>
        <w:trPr>
          <w:cantSplit/>
        </w:trPr>
        <w:tc>
          <w:tcPr>
            <w:tcW w:type="dxa" w:w="1247"/>
          </w:tcPr>
          <w:p>
            <w:pPr>
              <w:keepNext/>
              <w:spacing w:after="20"/>
            </w:pPr>
            <w:r/>
            <w:r>
              <w:rPr>
                <w:b w:val="0"/>
                <w:i w:val="0"/>
                <w:sz w:val="18"/>
              </w:rPr>
              <w:t>PS 2</w:t>
            </w:r>
          </w:p>
        </w:tc>
        <w:tc>
          <w:tcPr>
            <w:tcW w:type="dxa" w:w="6406"/>
          </w:tcPr>
          <w:p>
            <w:pPr>
              <w:keepNext/>
              <w:spacing w:after="20"/>
            </w:pPr>
            <w:r/>
            <w:r>
              <w:rPr>
                <w:b w:val="0"/>
                <w:i w:val="0"/>
                <w:sz w:val="18"/>
              </w:rPr>
              <w:t>Provisional sum: cost planner (community and recreation facilities)</w:t>
            </w:r>
          </w:p>
        </w:tc>
        <w:tc>
          <w:tcPr>
            <w:tcW w:type="dxa" w:w="1984"/>
          </w:tcPr>
          <w:p>
            <w:pPr>
              <w:keepNext/>
              <w:spacing w:after="20"/>
              <w:jc w:val="right"/>
            </w:pPr>
            <w:r/>
            <w:r>
              <w:rPr>
                <w:b w:val="0"/>
                <w:i w:val="0"/>
                <w:sz w:val="18"/>
              </w:rPr>
              <w:t>$8,800.00</w:t>
            </w:r>
          </w:p>
        </w:tc>
      </w:tr>
      <w:tr>
        <w:trPr>
          <w:cantSplit/>
        </w:trPr>
        <w:tc>
          <w:tcPr>
            <w:tcW w:type="dxa" w:w="1247"/>
            <w:shd w:val="clear" w:color="auto" w:fill="F6EFD6"/>
          </w:tcPr>
          <w:p>
            <w:pPr>
              <w:keepNext/>
              <w:spacing w:after="20"/>
            </w:pPr>
            <w:r/>
            <w:r>
              <w:rPr>
                <w:b/>
                <w:i w:val="0"/>
                <w:sz w:val="18"/>
              </w:rPr>
            </w:r>
          </w:p>
        </w:tc>
        <w:tc>
          <w:tcPr>
            <w:tcW w:type="dxa" w:w="6406"/>
            <w:shd w:val="clear" w:color="auto" w:fill="F6EFD6"/>
          </w:tcPr>
          <w:p>
            <w:pPr>
              <w:keepNext/>
              <w:spacing w:after="20"/>
            </w:pPr>
            <w:r/>
            <w:r>
              <w:rPr>
                <w:b/>
                <w:i w:val="0"/>
                <w:sz w:val="18"/>
              </w:rPr>
              <w:t>Total provisional sums (excl. GST)</w:t>
            </w:r>
          </w:p>
        </w:tc>
        <w:tc>
          <w:tcPr>
            <w:tcW w:type="dxa" w:w="1984"/>
            <w:shd w:val="clear" w:color="auto" w:fill="F6EFD6"/>
          </w:tcPr>
          <w:p>
            <w:pPr>
              <w:keepNext/>
              <w:spacing w:after="20"/>
              <w:jc w:val="right"/>
            </w:pPr>
            <w:r/>
            <w:r>
              <w:rPr>
                <w:b/>
                <w:i w:val="0"/>
                <w:sz w:val="18"/>
              </w:rPr>
              <w:t>$58,300.00</w:t>
            </w:r>
          </w:p>
        </w:tc>
      </w:tr>
      <w:tr>
        <w:trPr>
          <w:cantSplit/>
        </w:trPr>
        <w:tc>
          <w:tcPr>
            <w:tcW w:type="dxa" w:w="1247"/>
            <w:shd w:val="clear" w:color="auto" w:fill="F6EFD6"/>
          </w:tcPr>
          <w:p>
            <w:pPr>
              <w:keepNext/>
              <w:spacing w:after="20"/>
            </w:pPr>
            <w:r/>
            <w:r>
              <w:rPr>
                <w:b/>
                <w:i w:val="0"/>
                <w:sz w:val="18"/>
              </w:rPr>
            </w:r>
          </w:p>
        </w:tc>
        <w:tc>
          <w:tcPr>
            <w:tcW w:type="dxa" w:w="6406"/>
            <w:shd w:val="clear" w:color="auto" w:fill="F6EFD6"/>
          </w:tcPr>
          <w:p>
            <w:pPr>
              <w:keepNext/>
              <w:spacing w:after="20"/>
            </w:pPr>
            <w:r/>
            <w:r>
              <w:rPr>
                <w:b/>
                <w:i w:val="0"/>
                <w:sz w:val="18"/>
              </w:rPr>
              <w:t>Total (excl. GST)</w:t>
            </w:r>
          </w:p>
        </w:tc>
        <w:tc>
          <w:tcPr>
            <w:tcW w:type="dxa" w:w="1984"/>
            <w:shd w:val="clear" w:color="auto" w:fill="F6EFD6"/>
          </w:tcPr>
          <w:p>
            <w:pPr>
              <w:keepNext/>
              <w:spacing w:after="20"/>
              <w:jc w:val="right"/>
            </w:pPr>
            <w:r/>
            <w:r>
              <w:rPr>
                <w:b/>
                <w:i w:val="0"/>
                <w:sz w:val="18"/>
              </w:rPr>
              <w:t>$136,465.88</w:t>
            </w:r>
          </w:p>
        </w:tc>
      </w:tr>
      <w:tr>
        <w:trPr>
          <w:cantSplit/>
        </w:trPr>
        <w:tc>
          <w:tcPr>
            <w:tcW w:type="dxa" w:w="1247"/>
          </w:tcPr>
          <w:p>
            <w:pPr>
              <w:keepNext/>
              <w:spacing w:after="20"/>
            </w:pPr>
            <w:r/>
            <w:r>
              <w:rPr>
                <w:b w:val="0"/>
                <w:i w:val="0"/>
                <w:sz w:val="18"/>
              </w:rPr>
            </w:r>
          </w:p>
        </w:tc>
        <w:tc>
          <w:tcPr>
            <w:tcW w:type="dxa" w:w="6406"/>
          </w:tcPr>
          <w:p>
            <w:pPr>
              <w:keepNext/>
              <w:spacing w:after="20"/>
            </w:pPr>
            <w:r/>
            <w:r>
              <w:rPr>
                <w:b w:val="0"/>
                <w:i w:val="0"/>
                <w:sz w:val="18"/>
              </w:rPr>
              <w:t>GST (10%)</w:t>
            </w:r>
          </w:p>
        </w:tc>
        <w:tc>
          <w:tcPr>
            <w:tcW w:type="dxa" w:w="1984"/>
          </w:tcPr>
          <w:p>
            <w:pPr>
              <w:keepNext/>
              <w:spacing w:after="20"/>
              <w:jc w:val="right"/>
            </w:pPr>
            <w:r/>
            <w:r>
              <w:rPr>
                <w:b w:val="0"/>
                <w:i w:val="0"/>
                <w:sz w:val="18"/>
              </w:rPr>
              <w:t>$13,646.59</w:t>
            </w:r>
          </w:p>
        </w:tc>
      </w:tr>
      <w:tr>
        <w:trPr>
          <w:cantSplit/>
        </w:trPr>
        <w:tc>
          <w:tcPr>
            <w:tcW w:type="dxa" w:w="1247"/>
            <w:shd w:val="clear" w:color="auto" w:fill="F6EFD6"/>
          </w:tcPr>
          <w:p>
            <w:pPr>
              <w:keepNext w:val="0"/>
              <w:spacing w:after="20"/>
            </w:pPr>
            <w:r/>
            <w:r>
              <w:rPr>
                <w:b/>
                <w:i w:val="0"/>
                <w:sz w:val="18"/>
              </w:rPr>
            </w:r>
          </w:p>
        </w:tc>
        <w:tc>
          <w:tcPr>
            <w:tcW w:type="dxa" w:w="6406"/>
            <w:shd w:val="clear" w:color="auto" w:fill="F6EFD6"/>
          </w:tcPr>
          <w:p>
            <w:pPr>
              <w:keepNext w:val="0"/>
              <w:spacing w:after="20"/>
            </w:pPr>
            <w:r/>
            <w:r>
              <w:rPr>
                <w:b/>
                <w:i w:val="0"/>
                <w:sz w:val="18"/>
              </w:rPr>
              <w:t>Total (incl. GST)</w:t>
            </w:r>
          </w:p>
        </w:tc>
        <w:tc>
          <w:tcPr>
            <w:tcW w:type="dxa" w:w="1984"/>
            <w:shd w:val="clear" w:color="auto" w:fill="F6EFD6"/>
          </w:tcPr>
          <w:p>
            <w:pPr>
              <w:keepNext w:val="0"/>
              <w:spacing w:after="20"/>
              <w:jc w:val="right"/>
            </w:pPr>
            <w:r/>
            <w:r>
              <w:rPr>
                <w:b/>
                <w:i w:val="0"/>
                <w:sz w:val="18"/>
              </w:rPr>
              <w:t>$150,112.46</w:t>
            </w:r>
          </w:p>
        </w:tc>
      </w:tr>
    </w:tbl>
    <w:p>
      <w:pPr>
        <w:spacing w:after="40"/>
      </w:pPr>
    </w:p>
    <w:p>
      <w:r>
        <w:rPr>
          <w:b/>
          <w:i w:val="0"/>
        </w:rPr>
        <w:t xml:space="preserve">Payment. </w:t>
      </w:r>
      <w:r>
        <w:rPr>
          <w:b w:val="0"/>
          <w:i w:val="0"/>
        </w:rPr>
        <w:t>Monthly invoices for work completed, payable within 30 days, or as set by Council's RFQ conditions.</w:t>
      </w:r>
    </w:p>
    <w:p>
      <w:r>
        <w:rPr>
          <w:b/>
          <w:i w:val="0"/>
        </w:rPr>
        <w:t xml:space="preserve">Provisional sums. </w:t>
      </w:r>
      <w:r>
        <w:rPr>
          <w:b w:val="0"/>
          <w:i w:val="0"/>
        </w:rPr>
        <w:t>Provisional sums are drawn on only with Council's approval and are invoiced at the sub-consultant's fee plus JCE's coordination margin.</w:t>
      </w:r>
    </w:p>
    <w:p>
      <w:pPr>
        <w:keepNext/>
        <w:spacing w:before="240" w:after="80"/>
        <w:pBdr>
          <w:bottom w:val="single" w:sz="8" w:space="1" w:color="C9A227"/>
        </w:pBdr>
      </w:pPr>
      <w:r>
        <w:rPr>
          <w:b/>
          <w:i w:val="0"/>
          <w:color w:val="000000"/>
          <w:sz w:val="26"/>
        </w:rPr>
        <w:t>9. Variations and additional services</w:t>
      </w:r>
    </w:p>
    <w:p>
      <w:pPr>
        <w:keepNext/>
      </w:pPr>
      <w:r>
        <w:rPr>
          <w:b w:val="0"/>
          <w:i w:val="0"/>
        </w:rPr>
        <w:t>Services beyond the agreed scope are carried out on a time-and-expenses basis at the Schedule of Rates (Attachment B), with Council's prior written approval. Additional fees may apply for:</w:t>
      </w:r>
    </w:p>
    <w:p>
      <w:pPr>
        <w:pStyle w:val="ListBullet"/>
        <w:keepNext/>
        <w:spacing w:after="40"/>
      </w:pPr>
      <w:r>
        <w:rPr>
          <w:b w:val="0"/>
          <w:i w:val="0"/>
        </w:rPr>
        <w:t>a material change to the scope, growth scenario or works schedule after HP2;</w:t>
      </w:r>
    </w:p>
    <w:p>
      <w:pPr>
        <w:pStyle w:val="ListBullet"/>
        <w:keepNext/>
        <w:spacing w:after="40"/>
      </w:pPr>
      <w:r>
        <w:rPr>
          <w:b w:val="0"/>
          <w:i w:val="0"/>
        </w:rPr>
        <w:t>meetings, briefings, workshops or rounds of comment beyond those included; and</w:t>
      </w:r>
    </w:p>
    <w:p>
      <w:pPr>
        <w:pStyle w:val="ListBullet"/>
        <w:spacing w:after="40"/>
      </w:pPr>
      <w:r>
        <w:rPr>
          <w:b w:val="0"/>
          <w:i w:val="0"/>
        </w:rPr>
        <w:t>a second public exhibition, or an IPART review of the Section 7.11 plan.</w:t>
      </w:r>
    </w:p>
    <w:p>
      <w:pPr>
        <w:keepNext/>
        <w:spacing w:before="240" w:after="80"/>
        <w:pBdr>
          <w:bottom w:val="single" w:sz="8" w:space="1" w:color="C9A227"/>
        </w:pBdr>
      </w:pPr>
      <w:r>
        <w:rPr>
          <w:b/>
          <w:i w:val="0"/>
          <w:color w:val="000000"/>
          <w:sz w:val="26"/>
        </w:rPr>
        <w:t>10. Insurance</w:t>
      </w:r>
    </w:p>
    <w:p>
      <w:r>
        <w:rPr>
          <w:b w:val="0"/>
          <w:i w:val="0"/>
        </w:rPr>
        <w:t>JCE holds professional indemnity insurance of $10 million for any one claim and $20 million in the aggregate, public liability insurance of $10 million, and workers compensation insurance. Certificates of currency are attached. If Council's conditions require public liability of $20 million, JCE will lift its cover to $20 million on award. The planning partner and quantity surveyor carry their own professional indemnity cover.</w:t>
      </w:r>
    </w:p>
    <w:p>
      <w:pPr>
        <w:keepNext/>
        <w:spacing w:before="240" w:after="80"/>
        <w:pBdr>
          <w:bottom w:val="single" w:sz="8" w:space="1" w:color="C9A227"/>
        </w:pBdr>
      </w:pPr>
      <w:r>
        <w:rPr>
          <w:b/>
          <w:i w:val="0"/>
          <w:color w:val="000000"/>
          <w:sz w:val="26"/>
        </w:rPr>
        <w:t>11. Conditions of contract</w:t>
      </w:r>
    </w:p>
    <w:p>
      <w:r>
        <w:rPr>
          <w:b w:val="0"/>
          <w:i w:val="0"/>
        </w:rPr>
        <w:t>JCE will contract on Council's conditions as issued with the RFQ, and those conditions take precedence over this proposal. [TBC - Jayden: confirm after reading Council's conditions, and list any departure here, or write "JCE offers no departures".] Where no Council conditions apply, the order of precedence is this proposal and scope, the fee schedule, then the Terms and Conditions (Attachment A).</w:t>
      </w:r>
    </w:p>
    <w:p>
      <w:pPr>
        <w:keepNext/>
        <w:spacing w:before="240" w:after="80"/>
        <w:pBdr>
          <w:bottom w:val="single" w:sz="8" w:space="1" w:color="C9A227"/>
        </w:pBdr>
      </w:pPr>
      <w:r>
        <w:rPr>
          <w:b/>
          <w:i w:val="0"/>
          <w:color w:val="000000"/>
          <w:sz w:val="26"/>
        </w:rPr>
        <w:t>12. Conflict of interest</w:t>
      </w:r>
    </w:p>
    <w:p>
      <w:r>
        <w:rPr>
          <w:b w:val="0"/>
          <w:i w:val="0"/>
        </w:rPr>
        <w:t>JCE has no conflict of interest in this engagement. [TBC - Jayden: confirm, and record any conflict declared by the planning partner, for example work for applicants in the Mid-Western LGA, with the proposed management measure.]</w:t>
      </w:r>
    </w:p>
    <w:p>
      <w:pPr>
        <w:keepNext/>
        <w:spacing w:before="240" w:after="80"/>
        <w:pBdr>
          <w:bottom w:val="single" w:sz="8" w:space="1" w:color="C9A227"/>
        </w:pBdr>
      </w:pPr>
      <w:r>
        <w:rPr>
          <w:b/>
          <w:i w:val="0"/>
          <w:color w:val="000000"/>
          <w:sz w:val="26"/>
        </w:rPr>
        <w:t>13. Validity</w:t>
      </w:r>
    </w:p>
    <w:p>
      <w:r>
        <w:rPr>
          <w:b w:val="0"/>
          <w:i w:val="0"/>
        </w:rPr>
        <w:t>This proposal is valid for 90 days from the RFQ closing date.</w:t>
      </w:r>
    </w:p>
    <w:p>
      <w:pPr>
        <w:keepNext/>
        <w:spacing w:before="240" w:after="80"/>
        <w:pBdr>
          <w:bottom w:val="single" w:sz="8" w:space="1" w:color="C9A227"/>
        </w:pBdr>
      </w:pPr>
      <w:r>
        <w:rPr>
          <w:b/>
          <w:i w:val="0"/>
          <w:color w:val="000000"/>
          <w:sz w:val="26"/>
        </w:rPr>
        <w:t>14. Offer and acceptance</w:t>
      </w:r>
    </w:p>
    <w:p>
      <w:pPr>
        <w:keepNext/>
      </w:pPr>
      <w:r>
        <w:rPr>
          <w:b w:val="0"/>
          <w:i w:val="0"/>
        </w:rPr>
        <w:t>JCE offers to carry out the services described in this proposal for the fees in Section 8. To accept, please sign below or issue a purchase order referencing RFQ MWRCCMS001497.</w:t>
      </w:r>
    </w:p>
    <w:tbl>
      <w:tblPr>
        <w:tblStyle w:val="TableGrid"/>
        <w:tblW w:type="auto" w:w="0"/>
        <w:tblLayout w:type="fixed"/>
        <w:tblLook w:firstColumn="1" w:firstRow="1" w:lastColumn="0" w:lastRow="0" w:noHBand="0" w:noVBand="1" w:val="04A0"/>
        <w:tblLayout w:type="fixed"/>
      </w:tblPr>
      <w:tblGrid>
        <w:gridCol w:w="4819"/>
        <w:gridCol w:w="4819"/>
      </w:tblGrid>
      <w:tr>
        <w:trPr>
          <w:cantSplit/>
        </w:trPr>
        <w:tc>
          <w:tcPr>
            <w:tcW w:type="dxa" w:w="4819"/>
          </w:tcPr>
          <w:p>
            <w:pPr>
              <w:keepNext/>
            </w:pPr>
            <w:r/>
            <w:r>
              <w:rPr>
                <w:b/>
                <w:i w:val="0"/>
                <w:sz w:val="18"/>
              </w:rPr>
              <w:t>Offered by</w:t>
            </w:r>
          </w:p>
          <w:p>
            <w:pPr>
              <w:keepNext/>
            </w:pPr>
            <w:r>
              <w:rPr>
                <w:b w:val="0"/>
                <w:i w:val="0"/>
                <w:sz w:val="18"/>
              </w:rPr>
            </w:r>
          </w:p>
          <w:p>
            <w:pPr>
              <w:keepNext/>
            </w:pPr>
            <w:r>
              <w:rPr>
                <w:b w:val="0"/>
                <w:i w:val="0"/>
                <w:sz w:val="18"/>
              </w:rPr>
              <w:t>[signature]</w:t>
            </w:r>
          </w:p>
          <w:p>
            <w:pPr>
              <w:keepNext/>
            </w:pPr>
            <w:r>
              <w:rPr>
                <w:b w:val="0"/>
                <w:i w:val="0"/>
                <w:sz w:val="18"/>
              </w:rPr>
            </w:r>
          </w:p>
          <w:p>
            <w:pPr>
              <w:keepNext/>
            </w:pPr>
            <w:r>
              <w:rPr>
                <w:b/>
                <w:i w:val="0"/>
                <w:sz w:val="18"/>
              </w:rPr>
              <w:t>Jayden Callen</w:t>
            </w:r>
          </w:p>
          <w:p>
            <w:pPr>
              <w:keepNext/>
            </w:pPr>
            <w:r>
              <w:rPr>
                <w:b w:val="0"/>
                <w:i w:val="0"/>
                <w:sz w:val="18"/>
              </w:rPr>
              <w:t>Director, JCE Infrastructure Pty Ltd</w:t>
            </w:r>
          </w:p>
          <w:p>
            <w:pPr>
              <w:keepNext/>
            </w:pPr>
            <w:r>
              <w:rPr>
                <w:b w:val="0"/>
                <w:i w:val="0"/>
                <w:sz w:val="18"/>
              </w:rPr>
              <w:t>ABN 29 699 165 663</w:t>
            </w:r>
          </w:p>
          <w:p>
            <w:pPr>
              <w:keepNext/>
            </w:pPr>
            <w:r>
              <w:rPr>
                <w:b w:val="0"/>
                <w:i w:val="0"/>
                <w:sz w:val="18"/>
              </w:rPr>
              <w:t>Date: ____ / ____ / 2026</w:t>
            </w:r>
          </w:p>
        </w:tc>
        <w:tc>
          <w:tcPr>
            <w:tcW w:type="dxa" w:w="4819"/>
          </w:tcPr>
          <w:p>
            <w:pPr>
              <w:keepNext/>
            </w:pPr>
            <w:r/>
            <w:r>
              <w:rPr>
                <w:b/>
                <w:i w:val="0"/>
                <w:sz w:val="18"/>
              </w:rPr>
              <w:t>Accepted for and on behalf of Mid-Western Regional Council</w:t>
            </w:r>
          </w:p>
          <w:p>
            <w:pPr>
              <w:keepNext/>
            </w:pPr>
            <w:r>
              <w:rPr>
                <w:b w:val="0"/>
                <w:i w:val="0"/>
                <w:sz w:val="18"/>
              </w:rPr>
            </w:r>
          </w:p>
          <w:p>
            <w:pPr>
              <w:keepNext/>
            </w:pPr>
            <w:r>
              <w:rPr>
                <w:b w:val="0"/>
                <w:i w:val="0"/>
                <w:sz w:val="18"/>
              </w:rPr>
              <w:t>Signature: ______________________</w:t>
            </w:r>
          </w:p>
          <w:p>
            <w:pPr>
              <w:keepNext/>
            </w:pPr>
            <w:r>
              <w:rPr>
                <w:b w:val="0"/>
                <w:i w:val="0"/>
                <w:sz w:val="18"/>
              </w:rPr>
            </w:r>
          </w:p>
          <w:p>
            <w:pPr>
              <w:keepNext/>
            </w:pPr>
            <w:r>
              <w:rPr>
                <w:b w:val="0"/>
                <w:i w:val="0"/>
                <w:sz w:val="18"/>
              </w:rPr>
              <w:t>Name: __________________________</w:t>
            </w:r>
          </w:p>
          <w:p>
            <w:pPr>
              <w:keepNext/>
            </w:pPr>
            <w:r>
              <w:rPr>
                <w:b w:val="0"/>
                <w:i w:val="0"/>
                <w:sz w:val="18"/>
              </w:rPr>
              <w:t>Position: _______________________</w:t>
            </w:r>
          </w:p>
          <w:p>
            <w:pPr>
              <w:keepNext/>
            </w:pPr>
            <w:r>
              <w:rPr>
                <w:b w:val="0"/>
                <w:i w:val="0"/>
                <w:sz w:val="18"/>
              </w:rPr>
            </w:r>
          </w:p>
          <w:p>
            <w:pPr>
              <w:keepNext/>
            </w:pPr>
            <w:r>
              <w:rPr>
                <w:b w:val="0"/>
                <w:i w:val="0"/>
                <w:sz w:val="18"/>
              </w:rPr>
              <w:t>Date: ____ / ____ / ______</w:t>
            </w:r>
          </w:p>
        </w:tc>
      </w:tr>
    </w:tbl>
    <w:p>
      <w:r>
        <w:br w:type="page"/>
      </w:r>
    </w:p>
    <w:p>
      <w:pPr>
        <w:keepNext/>
        <w:spacing w:before="240" w:after="80"/>
        <w:pBdr>
          <w:bottom w:val="single" w:sz="8" w:space="1" w:color="C9A227"/>
        </w:pBdr>
      </w:pPr>
      <w:r>
        <w:rPr>
          <w:b/>
          <w:i w:val="0"/>
          <w:color w:val="000000"/>
          <w:sz w:val="26"/>
        </w:rPr>
        <w:t>Attachment A: Terms and Conditions</w:t>
      </w:r>
    </w:p>
    <w:p>
      <w:r>
        <w:rPr>
          <w:b w:val="0"/>
          <w:i w:val="0"/>
        </w:rPr>
        <w:t>Applies only where Council's RFQ conditions do not. [Jayden: paste JCE's standard Terms and Conditions (clauses 1 to 19, as in FP-012) from the branded template. Clause 11 liability cap and clause 14 insurance should be read with Sections 10 and 11 of this proposal.]</w:t>
      </w:r>
    </w:p>
    <w:p>
      <w:pPr>
        <w:keepNext/>
        <w:spacing w:before="240" w:after="80"/>
        <w:pBdr>
          <w:bottom w:val="single" w:sz="8" w:space="1" w:color="C9A227"/>
        </w:pBdr>
      </w:pPr>
      <w:r>
        <w:rPr>
          <w:b/>
          <w:i w:val="0"/>
          <w:color w:val="000000"/>
          <w:sz w:val="26"/>
        </w:rPr>
        <w:t>Attachment B: Schedule of rates</w:t>
      </w:r>
    </w:p>
    <w:tbl>
      <w:tblPr>
        <w:tblStyle w:val="TableGrid"/>
        <w:tblW w:type="auto" w:w="0"/>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1A1A1A"/>
          </w:tcPr>
          <w:p>
            <w:pPr>
              <w:keepNext/>
              <w:spacing w:after="20"/>
            </w:pPr>
            <w:r/>
            <w:r>
              <w:rPr>
                <w:b/>
                <w:i w:val="0"/>
                <w:color w:val="FFFFFF"/>
                <w:sz w:val="18"/>
              </w:rPr>
              <w:t>Role</w:t>
            </w:r>
          </w:p>
        </w:tc>
        <w:tc>
          <w:tcPr>
            <w:tcW w:type="dxa" w:w="3969"/>
            <w:shd w:val="clear" w:color="auto" w:fill="1A1A1A"/>
          </w:tcPr>
          <w:p>
            <w:pPr>
              <w:keepNext/>
              <w:spacing w:after="20"/>
            </w:pPr>
            <w:r/>
            <w:r>
              <w:rPr>
                <w:b/>
                <w:i w:val="0"/>
                <w:color w:val="FFFFFF"/>
                <w:sz w:val="18"/>
              </w:rPr>
              <w:t>Rate (excl. GST)</w:t>
            </w:r>
          </w:p>
        </w:tc>
      </w:tr>
      <w:tr>
        <w:trPr>
          <w:cantSplit/>
        </w:trPr>
        <w:tc>
          <w:tcPr>
            <w:tcW w:type="dxa" w:w="5669"/>
          </w:tcPr>
          <w:p>
            <w:pPr>
              <w:keepNext/>
              <w:spacing w:after="20"/>
            </w:pPr>
            <w:r/>
            <w:r>
              <w:rPr>
                <w:b w:val="0"/>
                <w:i w:val="0"/>
                <w:sz w:val="18"/>
              </w:rPr>
              <w:t>Director / Principal Engineer</w:t>
            </w:r>
          </w:p>
        </w:tc>
        <w:tc>
          <w:tcPr>
            <w:tcW w:type="dxa" w:w="3969"/>
          </w:tcPr>
          <w:p>
            <w:pPr>
              <w:keepNext/>
              <w:spacing w:after="20"/>
              <w:jc w:val="right"/>
            </w:pPr>
            <w:r/>
            <w:r>
              <w:rPr>
                <w:b w:val="0"/>
                <w:i w:val="0"/>
                <w:sz w:val="18"/>
              </w:rPr>
              <w:t>$200/hr  ·  $1,600/day</w:t>
            </w:r>
          </w:p>
        </w:tc>
      </w:tr>
      <w:tr>
        <w:trPr>
          <w:cantSplit/>
        </w:trPr>
        <w:tc>
          <w:tcPr>
            <w:tcW w:type="dxa" w:w="5669"/>
          </w:tcPr>
          <w:p>
            <w:pPr>
              <w:keepNext/>
              <w:spacing w:after="20"/>
            </w:pPr>
            <w:r/>
            <w:r>
              <w:rPr>
                <w:b w:val="0"/>
                <w:i w:val="0"/>
                <w:sz w:val="18"/>
              </w:rPr>
              <w:t>Senior Engineer</w:t>
            </w:r>
          </w:p>
        </w:tc>
        <w:tc>
          <w:tcPr>
            <w:tcW w:type="dxa" w:w="3969"/>
          </w:tcPr>
          <w:p>
            <w:pPr>
              <w:keepNext/>
              <w:spacing w:after="20"/>
              <w:jc w:val="right"/>
            </w:pPr>
            <w:r/>
            <w:r>
              <w:rPr>
                <w:b w:val="0"/>
                <w:i w:val="0"/>
                <w:sz w:val="18"/>
              </w:rPr>
              <w:t>$190/hr  ·  $1,520/day</w:t>
            </w:r>
          </w:p>
        </w:tc>
      </w:tr>
      <w:tr>
        <w:trPr>
          <w:cantSplit/>
        </w:trPr>
        <w:tc>
          <w:tcPr>
            <w:tcW w:type="dxa" w:w="5669"/>
          </w:tcPr>
          <w:p>
            <w:pPr>
              <w:keepNext/>
              <w:spacing w:after="20"/>
            </w:pPr>
            <w:r/>
            <w:r>
              <w:rPr>
                <w:b w:val="0"/>
                <w:i w:val="0"/>
                <w:sz w:val="18"/>
              </w:rPr>
              <w:t>Project Engineer</w:t>
            </w:r>
          </w:p>
        </w:tc>
        <w:tc>
          <w:tcPr>
            <w:tcW w:type="dxa" w:w="3969"/>
          </w:tcPr>
          <w:p>
            <w:pPr>
              <w:keepNext/>
              <w:spacing w:after="20"/>
              <w:jc w:val="right"/>
            </w:pPr>
            <w:r/>
            <w:r>
              <w:rPr>
                <w:b w:val="0"/>
                <w:i w:val="0"/>
                <w:sz w:val="18"/>
              </w:rPr>
              <w:t>$180/hr  ·  $1,440/day</w:t>
            </w:r>
          </w:p>
        </w:tc>
      </w:tr>
      <w:tr>
        <w:trPr>
          <w:cantSplit/>
        </w:trPr>
        <w:tc>
          <w:tcPr>
            <w:tcW w:type="dxa" w:w="5669"/>
          </w:tcPr>
          <w:p>
            <w:pPr>
              <w:keepNext/>
              <w:spacing w:after="20"/>
            </w:pPr>
            <w:r/>
            <w:r>
              <w:rPr>
                <w:b w:val="0"/>
                <w:i w:val="0"/>
                <w:sz w:val="18"/>
              </w:rPr>
              <w:t>Design Engineer</w:t>
            </w:r>
          </w:p>
        </w:tc>
        <w:tc>
          <w:tcPr>
            <w:tcW w:type="dxa" w:w="3969"/>
          </w:tcPr>
          <w:p>
            <w:pPr>
              <w:keepNext/>
              <w:spacing w:after="20"/>
              <w:jc w:val="right"/>
            </w:pPr>
            <w:r/>
            <w:r>
              <w:rPr>
                <w:b w:val="0"/>
                <w:i w:val="0"/>
                <w:sz w:val="18"/>
              </w:rPr>
              <w:t>$170/hr  ·  $1,360/day</w:t>
            </w:r>
          </w:p>
        </w:tc>
      </w:tr>
      <w:tr>
        <w:trPr>
          <w:cantSplit/>
        </w:trPr>
        <w:tc>
          <w:tcPr>
            <w:tcW w:type="dxa" w:w="5669"/>
          </w:tcPr>
          <w:p>
            <w:pPr>
              <w:keepNext/>
              <w:spacing w:after="20"/>
            </w:pPr>
            <w:r/>
            <w:r>
              <w:rPr>
                <w:b w:val="0"/>
                <w:i w:val="0"/>
                <w:sz w:val="18"/>
              </w:rPr>
              <w:t>CAD / Drafting Technician</w:t>
            </w:r>
          </w:p>
        </w:tc>
        <w:tc>
          <w:tcPr>
            <w:tcW w:type="dxa" w:w="3969"/>
          </w:tcPr>
          <w:p>
            <w:pPr>
              <w:keepNext/>
              <w:spacing w:after="20"/>
              <w:jc w:val="right"/>
            </w:pPr>
            <w:r/>
            <w:r>
              <w:rPr>
                <w:b w:val="0"/>
                <w:i w:val="0"/>
                <w:sz w:val="18"/>
              </w:rPr>
              <w:t>$160/hr  ·  $1,280/day</w:t>
            </w:r>
          </w:p>
        </w:tc>
      </w:tr>
      <w:tr>
        <w:trPr>
          <w:cantSplit/>
        </w:trPr>
        <w:tc>
          <w:tcPr>
            <w:tcW w:type="dxa" w:w="5669"/>
          </w:tcPr>
          <w:p>
            <w:pPr>
              <w:keepNext/>
              <w:spacing w:after="20"/>
            </w:pPr>
            <w:r/>
            <w:r>
              <w:rPr>
                <w:b w:val="0"/>
                <w:i w:val="0"/>
                <w:sz w:val="18"/>
              </w:rPr>
              <w:t>Administration / Document Control</w:t>
            </w:r>
          </w:p>
        </w:tc>
        <w:tc>
          <w:tcPr>
            <w:tcW w:type="dxa" w:w="3969"/>
          </w:tcPr>
          <w:p>
            <w:pPr>
              <w:keepNext/>
              <w:spacing w:after="20"/>
              <w:jc w:val="right"/>
            </w:pPr>
            <w:r/>
            <w:r>
              <w:rPr>
                <w:b w:val="0"/>
                <w:i w:val="0"/>
                <w:sz w:val="18"/>
              </w:rPr>
              <w:t>$140/hr  ·  $1,120/day</w:t>
            </w:r>
          </w:p>
        </w:tc>
      </w:tr>
      <w:tr>
        <w:trPr>
          <w:cantSplit/>
        </w:trPr>
        <w:tc>
          <w:tcPr>
            <w:tcW w:type="dxa" w:w="5669"/>
          </w:tcPr>
          <w:p>
            <w:pPr>
              <w:keepNext w:val="0"/>
              <w:spacing w:after="20"/>
            </w:pPr>
            <w:r/>
            <w:r>
              <w:rPr>
                <w:b w:val="0"/>
                <w:i w:val="0"/>
                <w:sz w:val="18"/>
              </w:rPr>
              <w:t>Sub-consultant services</w:t>
            </w:r>
          </w:p>
        </w:tc>
        <w:tc>
          <w:tcPr>
            <w:tcW w:type="dxa" w:w="3969"/>
          </w:tcPr>
          <w:p>
            <w:pPr>
              <w:keepNext w:val="0"/>
              <w:spacing w:after="20"/>
            </w:pPr>
            <w:r/>
            <w:r>
              <w:rPr>
                <w:b w:val="0"/>
                <w:i w:val="0"/>
                <w:sz w:val="18"/>
              </w:rPr>
              <w:t>At cost + 10%</w:t>
            </w:r>
          </w:p>
        </w:tc>
      </w:tr>
    </w:tbl>
    <w:p>
      <w:pPr>
        <w:spacing w:after="40"/>
      </w:pPr>
    </w:p>
    <w:p>
      <w:r>
        <w:rPr>
          <w:b w:val="0"/>
          <w:i w:val="0"/>
        </w:rPr>
        <w:t>Rates exclude GST and are subject to annual review. A day is eight hours. Disbursements are charged at cost.</w:t>
      </w:r>
    </w:p>
    <w:p>
      <w:pPr>
        <w:keepNext/>
        <w:spacing w:before="240" w:after="80"/>
        <w:pBdr>
          <w:bottom w:val="single" w:sz="8" w:space="1" w:color="C9A227"/>
        </w:pBdr>
      </w:pPr>
      <w:r>
        <w:rPr>
          <w:b/>
          <w:i w:val="0"/>
          <w:color w:val="000000"/>
          <w:sz w:val="26"/>
        </w:rPr>
        <w:t>Attachment C: Supporting documents</w:t>
      </w:r>
    </w:p>
    <w:p>
      <w:pPr>
        <w:pStyle w:val="ListBullet"/>
        <w:keepNext/>
        <w:spacing w:after="40"/>
      </w:pPr>
      <w:r>
        <w:rPr>
          <w:b w:val="0"/>
          <w:i w:val="0"/>
        </w:rPr>
        <w:t>JCE Capability Statement (Councils).</w:t>
      </w:r>
    </w:p>
    <w:p>
      <w:pPr>
        <w:pStyle w:val="ListBullet"/>
        <w:keepNext/>
        <w:spacing w:after="40"/>
      </w:pPr>
      <w:r>
        <w:rPr>
          <w:b w:val="0"/>
          <w:i w:val="0"/>
        </w:rPr>
        <w:t>Jayden Callen detailed CV (09/2026).</w:t>
      </w:r>
    </w:p>
    <w:p>
      <w:pPr>
        <w:pStyle w:val="ListBullet"/>
        <w:keepNext/>
        <w:spacing w:after="40"/>
      </w:pPr>
      <w:r>
        <w:rPr>
          <w:b w:val="0"/>
          <w:i w:val="0"/>
        </w:rPr>
        <w:t>Certificate of currency, professional indemnity and public liability (to 02/07/2027).</w:t>
      </w:r>
    </w:p>
    <w:p>
      <w:pPr>
        <w:pStyle w:val="ListBullet"/>
        <w:keepNext/>
        <w:spacing w:after="40"/>
      </w:pPr>
      <w:r>
        <w:rPr>
          <w:b w:val="0"/>
          <w:i w:val="0"/>
        </w:rPr>
        <w:t>Workers compensation letter of appointment.</w:t>
      </w:r>
    </w:p>
    <w:p>
      <w:pPr>
        <w:pStyle w:val="ListBullet"/>
        <w:keepNext/>
        <w:spacing w:after="40"/>
      </w:pPr>
      <w:r>
        <w:rPr>
          <w:b w:val="0"/>
          <w:i w:val="0"/>
        </w:rPr>
        <w:t>JCE Work Health and Safety, Quality, Environmental and Modern Slavery policies.</w:t>
      </w:r>
    </w:p>
    <w:p>
      <w:pPr>
        <w:pStyle w:val="ListBullet"/>
        <w:spacing w:after="40"/>
      </w:pPr>
      <w:r>
        <w:rPr>
          <w:b w:val="0"/>
          <w:i w:val="0"/>
        </w:rPr>
        <w:t>Planning partner and quantity surveyor capability and CVs [TBC - Jayden, on receipt of quotes].</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555555"/>
        <w:sz w:val="15"/>
      </w:rPr>
      <w:t>JCE Infrastructure  ·  Fee proposal, RFQ MWRCCMS001497 Mid-Western Regional Contributions Plan  ·  Revision F  ·  12/10/2026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i w:val="0"/>
        <w:color w:val="000000"/>
        <w:sz w:val="22"/>
      </w:rPr>
      <w:t>JCE Infrastructure Pty Ltd</w:t>
    </w:r>
    <w:r>
      <w:rPr>
        <w:b w:val="0"/>
        <w:i w:val="0"/>
        <w:color w:val="C9A227"/>
        <w:sz w:val="16"/>
      </w:rPr>
      <w:t xml:space="preserve">    Civil  ·  Hydraulics  ·  Infrastructure Engineering</w:t>
    </w:r>
  </w:p>
  <w:p>
    <w:pPr>
      <w:pBdr>
        <w:bottom w:val="single" w:sz="12" w:space="1" w:color="C9A227"/>
      </w:pBdr>
    </w:pPr>
    <w:r>
      <w:rPr>
        <w:b w:val="0"/>
        <w:i w:val="0"/>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