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C (Final)</w:t>
            </w:r>
          </w:p>
        </w:tc>
      </w:tr>
      <w:tr>
        <w:trPr>
          <w:cantSplit/>
        </w:trPr>
        <w:tc>
          <w:tcPr>
            <w:tcW w:type="dxa" w:w="1361"/>
          </w:tcPr>
          <w:p>
            <w:pPr>
              <w:keepNext/>
            </w:pPr>
            <w:r/>
            <w:r>
              <w:rPr>
                <w:sz w:val="19"/>
              </w:rPr>
              <w:t>To</w:t>
            </w:r>
          </w:p>
        </w:tc>
        <w:tc>
          <w:tcPr>
            <w:tcW w:type="dxa" w:w="3402"/>
          </w:tcPr>
          <w:p>
            <w:pPr>
              <w:keepNext/>
            </w:pPr>
            <w:r/>
            <w:r>
              <w:rPr>
                <w:sz w:val="19"/>
              </w:rPr>
              <w:t>Brewster Hjorth Architects</w:t>
            </w:r>
          </w:p>
        </w:tc>
        <w:tc>
          <w:tcPr>
            <w:tcW w:type="dxa" w:w="1701"/>
          </w:tcPr>
          <w:p>
            <w:pPr>
              <w:keepNext/>
            </w:pPr>
            <w:r/>
            <w:r>
              <w:rPr>
                <w:sz w:val="19"/>
              </w:rPr>
              <w:t>Attention</w:t>
            </w:r>
          </w:p>
        </w:tc>
        <w:tc>
          <w:tcPr>
            <w:tcW w:type="dxa" w:w="3175"/>
          </w:tcPr>
          <w:p>
            <w:pPr>
              <w:keepNext/>
            </w:pPr>
            <w:r/>
            <w:r>
              <w:rPr>
                <w:sz w:val="19"/>
              </w:rPr>
              <w:t>Directors</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Directors,</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$39,110</w:t>
            </w:r>
          </w:p>
        </w:tc>
        <w:tc>
          <w:tcPr>
            <w:tcW w:type="dxa" w:w="1361"/>
          </w:tcPr>
          <w:p>
            <w:pPr>
              <w:keepNext/>
            </w:pPr>
            <w:r/>
            <w:r>
              <w:rPr>
                <w:sz w:val="19"/>
              </w:rPr>
              <w:t>$19,100</w:t>
            </w:r>
          </w:p>
        </w:tc>
        <w:tc>
          <w:tcPr>
            <w:tcW w:type="dxa" w:w="1361"/>
          </w:tcPr>
          <w:p>
            <w:pPr>
              <w:keepNext/>
            </w:pPr>
            <w:r/>
            <w:r>
              <w:rPr>
                <w:sz w:val="19"/>
              </w:rPr>
              <w:t>$27,420</w:t>
            </w:r>
          </w:p>
        </w:tc>
        <w:tc>
          <w:tcPr>
            <w:tcW w:type="dxa" w:w="1361"/>
          </w:tcPr>
          <w:p>
            <w:pPr>
              <w:keepNext/>
            </w:pPr>
            <w:r/>
            <w:r>
              <w:rPr>
                <w:sz w:val="19"/>
              </w:rPr>
              <w:t>$15,020</w:t>
            </w:r>
          </w:p>
        </w:tc>
        <w:tc>
          <w:tcPr>
            <w:tcW w:type="dxa" w:w="1814"/>
          </w:tcPr>
          <w:p>
            <w:pPr>
              <w:keepNext/>
            </w:pPr>
            <w:r/>
            <w:r>
              <w:rPr>
                <w:sz w:val="19"/>
              </w:rPr>
              <w:t>$100,650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sign it off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Livio Chiarot FIEAust (SCP Consulting) will carry out independent peer review of the levels, earthworks and stormwater design before each major issue. This is NSW work for a Class 9b building, so RPEQ and Design and Building Practitioners registration do not apply.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keepNext/>
        <w:spacing w:after="40"/>
      </w:pPr>
      <w:r>
        <w:rPr>
          <w:sz w:val="21"/>
        </w:rPr>
        <w:t>Confirmation by Fri 16/10/2026 and a contact for the bid.</w:t>
      </w:r>
    </w:p>
    <w:p>
      <w:pPr>
        <w:pStyle w:val="ListBullet"/>
        <w:keepNex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