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00000"/>
          <w:sz w:val="36"/>
        </w:rPr>
        <w:t>JCE Infrastructure Pty Ltd</w:t>
      </w:r>
    </w:p>
    <w:p>
      <w:pPr>
        <w:spacing w:after="0"/>
      </w:pPr>
      <w:r>
        <w:rPr>
          <w:b/>
          <w:color w:val="C9A227"/>
          <w:sz w:val="17"/>
        </w:rPr>
        <w:t>CIVIL  |  HYDRAULICS  |  INFRASTRUCTURE ENGINEERING</w:t>
      </w:r>
    </w:p>
    <w:p>
      <w:pPr>
        <w:pBdr>
          <w:bottom w:val="single" w:sz="12" w:space="4" w:color="C9A227"/>
        </w:pBdr>
        <w:spacing w:after="160"/>
      </w:pPr>
      <w:r>
        <w:rPr>
          <w:color w:val="555555"/>
          <w:sz w:val="17"/>
        </w:rPr>
        <w:t>ABN 29 699 165 663   |   0477 207 027   |   jayden@jceinfrastructure.com.au   |   jceinfrastructure.com.au</w:t>
      </w:r>
    </w:p>
    <w:p>
      <w:r>
        <w:rPr>
          <w:b/>
          <w:color w:val="C9A227"/>
          <w:sz w:val="24"/>
        </w:rPr>
        <w:t>REQUEST FOR QUOTATION: SUB-CONSULTANT SERVICES</w:t>
      </w:r>
    </w:p>
    <w:tbl>
      <w:tblPr>
        <w:tblStyle w:val="TableGrid"/>
        <w:tblW w:type="auto" w:w="0"/>
        <w:jc w:val="center"/>
        <w:tblLayout w:type="fixed"/>
        <w:tblLook w:firstColumn="1" w:firstRow="1" w:lastColumn="0" w:lastRow="0" w:noHBand="0" w:noVBand="1" w:val="04A0"/>
        <w:tblLayout w:type="fixed"/>
      </w:tblPr>
      <w:tblGrid>
        <w:gridCol w:w="1701"/>
        <w:gridCol w:w="3118"/>
        <w:gridCol w:w="1701"/>
        <w:gridCol w:w="3118"/>
      </w:tblGrid>
      <w:tr>
        <w:tc>
          <w:tcPr>
            <w:tcW w:type="dxa" w:w="1701"/>
            <w:shd w:val="clear" w:color="auto" w:fill="F3ECD3"/>
          </w:tcPr>
          <w:p>
            <w:r/>
            <w:r>
              <w:rPr>
                <w:b/>
                <w:sz w:val="17"/>
              </w:rPr>
              <w:t>RFQ No</w:t>
            </w:r>
          </w:p>
        </w:tc>
        <w:tc>
          <w:tcPr>
            <w:tcW w:type="dxa" w:w="3118"/>
          </w:tcPr>
          <w:p>
            <w:r/>
            <w:r>
              <w:rPr>
                <w:sz w:val="17"/>
              </w:rPr>
              <w:t>JCE-RFQ-VP527224-MARI</w:t>
            </w:r>
          </w:p>
        </w:tc>
        <w:tc>
          <w:tcPr>
            <w:tcW w:type="dxa" w:w="1701"/>
            <w:shd w:val="clear" w:color="auto" w:fill="F3ECD3"/>
          </w:tcPr>
          <w:p>
            <w:r/>
            <w:r>
              <w:rPr>
                <w:b/>
                <w:sz w:val="17"/>
              </w:rPr>
              <w:t>Issued</w:t>
            </w:r>
          </w:p>
        </w:tc>
        <w:tc>
          <w:tcPr>
            <w:tcW w:type="dxa" w:w="3118"/>
          </w:tcPr>
          <w:p>
            <w:r/>
            <w:r>
              <w:rPr>
                <w:sz w:val="17"/>
              </w:rPr>
              <w:t>12/10/2026</w:t>
            </w:r>
          </w:p>
        </w:tc>
      </w:tr>
      <w:tr>
        <w:tc>
          <w:tcPr>
            <w:tcW w:type="dxa" w:w="1701"/>
            <w:shd w:val="clear" w:color="auto" w:fill="F3ECD3"/>
          </w:tcPr>
          <w:p>
            <w:r/>
            <w:r>
              <w:rPr>
                <w:b/>
                <w:sz w:val="17"/>
              </w:rPr>
              <w:t>Discipline</w:t>
            </w:r>
          </w:p>
        </w:tc>
        <w:tc>
          <w:tcPr>
            <w:tcW w:type="dxa" w:w="3118"/>
          </w:tcPr>
          <w:p>
            <w:r/>
            <w:r>
              <w:rPr>
                <w:sz w:val="17"/>
              </w:rPr>
              <w:t>Marine and Coastal Engineering (RPEQ)</w:t>
            </w:r>
          </w:p>
        </w:tc>
        <w:tc>
          <w:tcPr>
            <w:tcW w:type="dxa" w:w="1701"/>
            <w:shd w:val="clear" w:color="auto" w:fill="F3ECD3"/>
          </w:tcPr>
          <w:p>
            <w:r/>
            <w:r>
              <w:rPr>
                <w:b/>
                <w:sz w:val="17"/>
              </w:rPr>
              <w:t>Quote due</w:t>
            </w:r>
          </w:p>
        </w:tc>
        <w:tc>
          <w:tcPr>
            <w:tcW w:type="dxa" w:w="3118"/>
          </w:tcPr>
          <w:p>
            <w:r/>
            <w:r>
              <w:rPr>
                <w:sz w:val="17"/>
              </w:rPr>
              <w:t>Thursday 15/10/2026, 12:00pm AEST</w:t>
            </w:r>
          </w:p>
        </w:tc>
      </w:tr>
      <w:tr>
        <w:tc>
          <w:tcPr>
            <w:tcW w:type="dxa" w:w="1701"/>
            <w:shd w:val="clear" w:color="auto" w:fill="F3ECD3"/>
          </w:tcPr>
          <w:p>
            <w:r/>
            <w:r>
              <w:rPr>
                <w:b/>
                <w:sz w:val="17"/>
              </w:rPr>
              <w:t>Project</w:t>
            </w:r>
          </w:p>
        </w:tc>
        <w:tc>
          <w:tcPr>
            <w:tcW w:type="dxa" w:w="3118"/>
          </w:tcPr>
          <w:p>
            <w:r/>
            <w:r>
              <w:rPr>
                <w:sz w:val="17"/>
              </w:rPr>
              <w:t>2026-092 Port Douglas Marine Industry Precinct Scoping Study</w:t>
            </w:r>
          </w:p>
        </w:tc>
        <w:tc>
          <w:tcPr>
            <w:tcW w:type="dxa" w:w="1701"/>
            <w:shd w:val="clear" w:color="auto" w:fill="F3ECD3"/>
          </w:tcPr>
          <w:p>
            <w:r/>
            <w:r>
              <w:rPr>
                <w:b/>
                <w:sz w:val="17"/>
              </w:rPr>
              <w:t>Head client</w:t>
            </w:r>
          </w:p>
        </w:tc>
        <w:tc>
          <w:tcPr>
            <w:tcW w:type="dxa" w:w="3118"/>
          </w:tcPr>
          <w:p>
            <w:r/>
            <w:r>
              <w:rPr>
                <w:sz w:val="17"/>
              </w:rPr>
              <w:t>Douglas Shire Council (QLD)</w:t>
            </w:r>
          </w:p>
        </w:tc>
      </w:tr>
      <w:tr>
        <w:tc>
          <w:tcPr>
            <w:tcW w:type="dxa" w:w="1701"/>
            <w:shd w:val="clear" w:color="auto" w:fill="F3ECD3"/>
          </w:tcPr>
          <w:p>
            <w:r/>
            <w:r>
              <w:rPr>
                <w:b/>
                <w:sz w:val="17"/>
              </w:rPr>
              <w:t>Site</w:t>
            </w:r>
          </w:p>
        </w:tc>
        <w:tc>
          <w:tcPr>
            <w:tcW w:type="dxa" w:w="3118"/>
          </w:tcPr>
          <w:p>
            <w:r/>
            <w:r>
              <w:rPr>
                <w:sz w:val="17"/>
              </w:rPr>
              <w:t>Dickson Inlet, Port Douglas QLD 4877</w:t>
            </w:r>
          </w:p>
        </w:tc>
        <w:tc>
          <w:tcPr>
            <w:tcW w:type="dxa" w:w="1701"/>
            <w:shd w:val="clear" w:color="auto" w:fill="F3ECD3"/>
          </w:tcPr>
          <w:p>
            <w:r/>
            <w:r>
              <w:rPr>
                <w:b/>
                <w:sz w:val="17"/>
              </w:rPr>
              <w:t>Questions by</w:t>
            </w:r>
          </w:p>
        </w:tc>
        <w:tc>
          <w:tcPr>
            <w:tcW w:type="dxa" w:w="3118"/>
          </w:tcPr>
          <w:p>
            <w:r/>
            <w:r>
              <w:rPr>
                <w:sz w:val="17"/>
              </w:rPr>
              <w:t>Tuesday 13/10/2026</w:t>
            </w:r>
          </w:p>
        </w:tc>
      </w:tr>
    </w:tbl>
    <w:p/>
    <w:p>
      <w:pPr>
        <w:keepNext w:val="0"/>
      </w:pPr>
      <w:r>
        <w:rPr>
          <w:i w:val="0"/>
        </w:rPr>
        <w:t>To the invited firm,</w:t>
      </w:r>
    </w:p>
    <w:p>
      <w:pPr>
        <w:keepNext w:val="0"/>
      </w:pPr>
      <w:r>
        <w:rPr>
          <w:i w:val="0"/>
        </w:rPr>
        <w:t>JCE Infrastructure Pty Ltd (JCE) is preparing a response to Douglas Shire Council's Request for Quotations 2026-092, Port Douglas Marine Industry Precinct Scoping Study, as lead consultant. JCE invites your firm to quote for the marine and coastal engineering input described below, as a sub-consultant to JCE.</w:t>
      </w:r>
    </w:p>
    <w:p>
      <w:pPr>
        <w:pStyle w:val="Heading1"/>
      </w:pPr>
      <w:r>
        <w:t>1.  Project and tender background</w:t>
      </w:r>
    </w:p>
    <w:p>
      <w:pPr>
        <w:keepNext w:val="0"/>
      </w:pPr>
      <w:r>
        <w:rPr>
          <w:i w:val="0"/>
        </w:rPr>
        <w:t>Douglas Shire Council (Council) is seeking a consultant to research and develop a scoping study into the need for, and next steps to develop, a Marine Industry Precinct on a greenfield site in Port Douglas. The site is in the order of 3 ha with about 300 m of frontage to Dickson Inlet, between the two existing marinas and the Marano's fuel facility. The project is intended to include a public boat ramp and associated parking. The study is funded through the Queensland Government's Mossman Transition Plan, and a key outcome is information Council can use for future grant applications.</w:t>
      </w:r>
    </w:p>
    <w:p>
      <w:pPr>
        <w:keepNext w:val="0"/>
      </w:pPr>
      <w:r>
        <w:rPr>
          <w:i w:val="0"/>
        </w:rPr>
        <w:t>The Scope requires marine industry research, Council-facilitated stakeholder engagement, an economic benefits analysis, three concept plans and a master plan for the preferred concept (including marine engineering, enabling infrastructure, staging and costs), an approvals pathway across all three levels of government, delivery strategy options, a risk register and a cost analysis. Council weights its evaluation as follows: local knowledge 10%, relevant experience 20%, capacity and key personnel 15%, methodology and program 15%, and price 40%. Far North Queensland familiarity is considered essential. The tender closes Thursday 22/10/2026, 2:00pm AEST.</w:t>
      </w:r>
    </w:p>
    <w:p>
      <w:pPr>
        <w:keepNext w:val="0"/>
      </w:pPr>
      <w:r>
        <w:rPr>
          <w:i w:val="0"/>
        </w:rPr>
        <w:t>JCE will lead the study as lead consultant and integrator, with Jayden Callen as the single point of contact for Council. Engineering opinions in the study will be prepared by, or under the direct supervision of, and signed by, a Registered Professional Engineer of Queensland (RPEQ) under the Professional Engineers Act 2002 (Qld).</w:t>
      </w:r>
    </w:p>
    <w:p>
      <w:pPr>
        <w:pStyle w:val="Heading1"/>
      </w:pPr>
      <w:r>
        <w:t>2.  Scope of services</w:t>
      </w:r>
    </w:p>
    <w:p>
      <w:pPr>
        <w:pStyle w:val="ListBullet"/>
      </w:pPr>
      <w:r>
        <w:t>Review of available bathymetry, tidal planes, storm tide, coastal hazard and navigation information for Dickson Inlet at the site (about 300 m frontage)</w:t>
      </w:r>
    </w:p>
    <w:p>
      <w:pPr>
        <w:pStyle w:val="ListBullet"/>
      </w:pPr>
      <w:r>
        <w:t>Waterside functional requirements: travel lift or slipway capacity, approach channel and berth pocket depths, wash-down and haul-out infrastructure, berths and the public boat ramp</w:t>
      </w:r>
    </w:p>
    <w:p>
      <w:pPr>
        <w:pStyle w:val="ListBullet"/>
      </w:pPr>
      <w:r>
        <w:t>Waterside layouts for three concept plans, coordinated with JCE's landside layouts</w:t>
      </w:r>
    </w:p>
    <w:p>
      <w:pPr>
        <w:pStyle w:val="ListBullet"/>
      </w:pPr>
      <w:r>
        <w:t>For the preferred concept: marine engineering requirements including water depths, groyne requirements, likely dredging volumes and disposal implications, piling and marine structures (with reference to AS 4997 and AS 3962); key structural works</w:t>
      </w:r>
    </w:p>
    <w:p>
      <w:pPr>
        <w:pStyle w:val="ListBullet"/>
      </w:pPr>
      <w:r>
        <w:t>Construction staging and methodology input, and quantities for the cost planner</w:t>
      </w:r>
    </w:p>
    <w:p>
      <w:pPr>
        <w:pStyle w:val="ListBullet"/>
      </w:pPr>
      <w:r>
        <w:t>Coastal hazard and climate change considerations for the master plan</w:t>
      </w:r>
    </w:p>
    <w:p>
      <w:pPr>
        <w:pStyle w:val="ListBullet"/>
      </w:pPr>
      <w:r>
        <w:t>RPEQ sign-off of the marine and coastal engineering content</w:t>
      </w:r>
    </w:p>
    <w:p>
      <w:pPr>
        <w:pStyle w:val="ListBullet"/>
      </w:pPr>
      <w:r>
        <w:t>OPTION B (price separately): RPEQ (Civil) direct supervision and sign-off of JCE's civil and infrastructure inputs (servicing strategy, road layout, stormwater and staging)</w:t>
      </w:r>
    </w:p>
    <w:p>
      <w:pPr>
        <w:keepNext w:val="0"/>
      </w:pPr>
      <w:r>
        <w:rPr>
          <w:i w:val="0"/>
        </w:rPr>
        <w:t>Please list any exclusions and any additional services you recommend.</w:t>
      </w:r>
    </w:p>
    <w:p>
      <w:pPr>
        <w:pStyle w:val="Heading1"/>
      </w:pPr>
      <w:r>
        <w:t>3.  Deliverables and formats</w:t>
      </w:r>
    </w:p>
    <w:p>
      <w:pPr>
        <w:pStyle w:val="ListBullet"/>
      </w:pPr>
      <w:r>
        <w:t>Waterside concept sketches for three concepts: late January 2027</w:t>
      </w:r>
    </w:p>
    <w:p>
      <w:pPr>
        <w:pStyle w:val="ListBullet"/>
      </w:pPr>
      <w:r>
        <w:t>Marine engineering chapter, marked-up master plan and quantities (Word, PDF, CAD): mid February 2027</w:t>
      </w:r>
    </w:p>
    <w:p>
      <w:pPr>
        <w:pStyle w:val="ListBullet"/>
      </w:pPr>
      <w:r>
        <w:t>Responses to one round of consolidated comments: April 2027</w:t>
      </w:r>
    </w:p>
    <w:p>
      <w:pPr>
        <w:pStyle w:val="ListBullet"/>
      </w:pPr>
      <w:r>
        <w:t>RPEQ sign-off of the marine content (and the Option B civil content)</w:t>
      </w:r>
    </w:p>
    <w:p>
      <w:pPr>
        <w:keepNext w:val="0"/>
      </w:pPr>
      <w:r>
        <w:rPr>
          <w:i w:val="0"/>
        </w:rPr>
        <w:t>Reports in Word and PDF; drawings and mapping in PDF with CAD or GIS files where produced. All deliverables are issued to Council through JCE.</w:t>
      </w:r>
    </w:p>
    <w:p>
      <w:pPr>
        <w:pStyle w:val="Heading1"/>
      </w:pPr>
      <w:r>
        <w:t>4.  Program</w:t>
      </w:r>
    </w:p>
    <w:p>
      <w:pPr>
        <w:pStyle w:val="ListBullet"/>
      </w:pPr>
      <w:r>
        <w:t>Council decision expected 05/11/2026; contract award assumed by 09/11/2026</w:t>
      </w:r>
    </w:p>
    <w:p>
      <w:pPr>
        <w:pStyle w:val="ListBullet"/>
      </w:pPr>
      <w:r>
        <w:t>Inception meeting and site visit: week of 23/11/2026; Activity Plan and Program to Council: 08/12/2026</w:t>
      </w:r>
    </w:p>
    <w:p>
      <w:pPr>
        <w:pStyle w:val="ListBullet"/>
      </w:pPr>
      <w:r>
        <w:t>Draft Scoping Report to Council: 26/02/2027; Final Scoping Report: 30/04/2027; presentation to a Council meeting: May 2027</w:t>
      </w:r>
    </w:p>
    <w:p>
      <w:pPr>
        <w:pStyle w:val="ListBullet"/>
      </w:pPr>
      <w:r>
        <w:t>Questions on this RFQ: by Tuesday 13/10/2026, to jayden@jceinfrastructure.com.au</w:t>
      </w:r>
    </w:p>
    <w:p>
      <w:pPr>
        <w:pStyle w:val="ListBullet"/>
      </w:pPr>
      <w:r>
        <w:t>Quote due: Thursday 15/10/2026, 12:00pm AEST, by email to jayden@jceinfrastructure.com.au</w:t>
      </w:r>
    </w:p>
    <w:p>
      <w:pPr>
        <w:pStyle w:val="Heading1"/>
      </w:pPr>
      <w:r>
        <w:t>5.  Information provided</w:t>
      </w:r>
    </w:p>
    <w:p>
      <w:pPr>
        <w:keepNext w:val="0"/>
      </w:pPr>
      <w:r>
        <w:rPr>
          <w:i w:val="0"/>
        </w:rPr>
        <w:t>Attached: Council's Part 5 Scope (2026-092). The Request for Quotations, Response Schedules and draft Council Contract (Goods and Services) LGT2.4 can be provided on request. Council's 2019 Port Douglas Waterfront South Tourism and Marine Master Plan and other public information may be used. Council gives no warranty on the information it supplies.</w:t>
      </w:r>
    </w:p>
    <w:p>
      <w:pPr>
        <w:pStyle w:val="Heading1"/>
      </w:pPr>
      <w:r>
        <w:t>6.  Requirements</w:t>
      </w:r>
    </w:p>
    <w:p>
      <w:pPr>
        <w:pStyle w:val="ListBullet"/>
      </w:pPr>
      <w:r>
        <w:t>Insurances matching the head contract: professional indemnity of at least $5 million any one occurrence, maintained for 7 years after completion; public and products liability of at least $20 million any one occurrence; workers compensation as required by law; and third party and comprehensive motor vehicle insurance for any vehicle used. Please attach certificates of currency, or state the cover you hold and any increase you would make on award.</w:t>
      </w:r>
    </w:p>
    <w:p>
      <w:pPr>
        <w:pStyle w:val="ListBullet"/>
      </w:pPr>
      <w:r>
        <w:t>Registration: all engineering content and opinions must be prepared by, or under the direct supervision of, and signed by, an RPEQ registered in the relevant area of engineering (Professional Engineers Act 2002 (Qld)). Name the RPEQ and give the registration number.</w:t>
      </w:r>
    </w:p>
    <w:p>
      <w:pPr>
        <w:pStyle w:val="ListBullet"/>
      </w:pPr>
      <w:r>
        <w:t>Work health and safety: a documented WHS system or plan, and compliance with JCE's Subconsultant and Contractor WHS Management Procedure (JCE-WHS-PRO-009) for any site attendance</w:t>
      </w:r>
    </w:p>
    <w:p>
      <w:pPr>
        <w:pStyle w:val="ListBullet"/>
      </w:pPr>
      <w:r>
        <w:t>Independence: declare any actual, potential or perceived conflict of interest, including whether your firm is part of, or has been approached by, another respondent's team for RFQ 2026-092</w:t>
      </w:r>
    </w:p>
    <w:p>
      <w:pPr>
        <w:pStyle w:val="ListBullet"/>
      </w:pPr>
      <w:r>
        <w:t>Key person and a nominated backup, with short CVs (1 to 2 pages) and two or three relevant projects with client contacts, for Schedules F1 and F2 of JCE's response. Please also state your office location, as Council considers sub-consultant locality under its local content schedule (D1)</w:t>
      </w:r>
    </w:p>
    <w:p>
      <w:pPr>
        <w:pStyle w:val="ListBullet"/>
      </w:pPr>
      <w:r>
        <w:t>Use of AI tools: no Council confidential or personal information may be entered into publicly accessible AI tools or systems that train on user inputs (Council requirement)</w:t>
      </w:r>
    </w:p>
    <w:p>
      <w:pPr>
        <w:pStyle w:val="Heading1"/>
      </w:pPr>
      <w:r>
        <w:t>7.  Pricing schedule</w:t>
      </w:r>
    </w:p>
    <w:p>
      <w:pPr>
        <w:keepNext/>
      </w:pPr>
      <w:r>
        <w:rPr>
          <w:i w:val="0"/>
        </w:rPr>
        <w:t>Please price each item as a lump sum in AUD, excluding GST, including all expenses and travel unless stated otherwise. Your quote must remain valid for 90 days from the quote due date, to match Council's 90 calendar day response validity.</w:t>
      </w:r>
    </w:p>
    <w:tbl>
      <w:tblPr>
        <w:tblStyle w:val="TableGrid"/>
        <w:tblW w:type="auto" w:w="0"/>
        <w:jc w:val="center"/>
        <w:tblLayout w:type="fixed"/>
        <w:tblLook w:firstColumn="1" w:firstRow="1" w:lastColumn="0" w:lastRow="0" w:noHBand="0" w:noVBand="1" w:val="04A0"/>
        <w:tblLayout w:type="fixed"/>
      </w:tblPr>
      <w:tblGrid>
        <w:gridCol w:w="907"/>
        <w:gridCol w:w="6463"/>
        <w:gridCol w:w="2268"/>
      </w:tblGrid>
      <w:tr>
        <w:trPr>
          <w:tblHeader/>
          <w:cantSplit/>
        </w:trPr>
        <w:tc>
          <w:tcPr>
            <w:tcW w:type="dxa" w:w="907"/>
            <w:shd w:val="clear" w:color="auto" w:fill="1A1A1A"/>
          </w:tcPr>
          <w:p>
            <w:pPr>
              <w:keepNext/>
            </w:pPr>
            <w:r/>
            <w:r>
              <w:rPr>
                <w:b/>
                <w:color w:val="FFFFFF"/>
                <w:sz w:val="17"/>
              </w:rPr>
              <w:t>Item</w:t>
            </w:r>
          </w:p>
        </w:tc>
        <w:tc>
          <w:tcPr>
            <w:tcW w:type="dxa" w:w="6463"/>
            <w:shd w:val="clear" w:color="auto" w:fill="1A1A1A"/>
          </w:tcPr>
          <w:p>
            <w:pPr>
              <w:keepNext/>
            </w:pPr>
            <w:r/>
            <w:r>
              <w:rPr>
                <w:b/>
                <w:color w:val="FFFFFF"/>
                <w:sz w:val="17"/>
              </w:rPr>
              <w:t>Description</w:t>
            </w:r>
          </w:p>
        </w:tc>
        <w:tc>
          <w:tcPr>
            <w:tcW w:type="dxa" w:w="2268"/>
            <w:shd w:val="clear" w:color="auto" w:fill="1A1A1A"/>
          </w:tcPr>
          <w:p>
            <w:pPr>
              <w:keepNext/>
            </w:pPr>
            <w:r/>
            <w:r>
              <w:rPr>
                <w:b/>
                <w:color w:val="FFFFFF"/>
                <w:sz w:val="17"/>
              </w:rPr>
              <w:t>Lump sum (excl. GST)</w:t>
            </w:r>
          </w:p>
        </w:tc>
      </w:tr>
      <w:tr>
        <w:trPr>
          <w:cantSplit/>
        </w:trPr>
        <w:tc>
          <w:tcPr>
            <w:tcW w:type="dxa" w:w="907"/>
          </w:tcPr>
          <w:p>
            <w:pPr>
              <w:keepNext/>
            </w:pPr>
            <w:r/>
            <w:r>
              <w:rPr>
                <w:sz w:val="17"/>
              </w:rPr>
              <w:t>A1</w:t>
            </w:r>
          </w:p>
        </w:tc>
        <w:tc>
          <w:tcPr>
            <w:tcW w:type="dxa" w:w="6463"/>
          </w:tcPr>
          <w:p>
            <w:pPr>
              <w:keepNext/>
            </w:pPr>
            <w:r/>
            <w:r>
              <w:rPr>
                <w:sz w:val="17"/>
              </w:rPr>
              <w:t>Data review and waterside functional requirements</w:t>
            </w:r>
          </w:p>
        </w:tc>
        <w:tc>
          <w:tcPr>
            <w:tcW w:type="dxa" w:w="2268"/>
          </w:tcPr>
          <w:p>
            <w:pPr>
              <w:keepNext/>
            </w:pPr>
            <w:r/>
            <w:r>
              <w:rPr>
                <w:sz w:val="17"/>
              </w:rPr>
              <w:t>$</w:t>
            </w:r>
          </w:p>
        </w:tc>
      </w:tr>
      <w:tr>
        <w:trPr>
          <w:cantSplit/>
        </w:trPr>
        <w:tc>
          <w:tcPr>
            <w:tcW w:type="dxa" w:w="907"/>
          </w:tcPr>
          <w:p>
            <w:pPr>
              <w:keepNext/>
            </w:pPr>
            <w:r/>
            <w:r>
              <w:rPr>
                <w:sz w:val="17"/>
              </w:rPr>
              <w:t>A2</w:t>
            </w:r>
          </w:p>
        </w:tc>
        <w:tc>
          <w:tcPr>
            <w:tcW w:type="dxa" w:w="6463"/>
          </w:tcPr>
          <w:p>
            <w:pPr>
              <w:keepNext/>
            </w:pPr>
            <w:r/>
            <w:r>
              <w:rPr>
                <w:sz w:val="17"/>
              </w:rPr>
              <w:t>Waterside layouts for three concepts</w:t>
            </w:r>
          </w:p>
        </w:tc>
        <w:tc>
          <w:tcPr>
            <w:tcW w:type="dxa" w:w="2268"/>
          </w:tcPr>
          <w:p>
            <w:pPr>
              <w:keepNext/>
            </w:pPr>
            <w:r/>
            <w:r>
              <w:rPr>
                <w:sz w:val="17"/>
              </w:rPr>
              <w:t>$</w:t>
            </w:r>
          </w:p>
        </w:tc>
      </w:tr>
      <w:tr>
        <w:trPr>
          <w:cantSplit/>
        </w:trPr>
        <w:tc>
          <w:tcPr>
            <w:tcW w:type="dxa" w:w="907"/>
          </w:tcPr>
          <w:p>
            <w:pPr>
              <w:keepNext/>
            </w:pPr>
            <w:r/>
            <w:r>
              <w:rPr>
                <w:sz w:val="17"/>
              </w:rPr>
              <w:t>A3</w:t>
            </w:r>
          </w:p>
        </w:tc>
        <w:tc>
          <w:tcPr>
            <w:tcW w:type="dxa" w:w="6463"/>
          </w:tcPr>
          <w:p>
            <w:pPr>
              <w:keepNext/>
            </w:pPr>
            <w:r/>
            <w:r>
              <w:rPr>
                <w:sz w:val="17"/>
              </w:rPr>
              <w:t>Preferred concept marine engineering (depths, groynes, dredging, piling, structures), staging and quantities</w:t>
            </w:r>
          </w:p>
        </w:tc>
        <w:tc>
          <w:tcPr>
            <w:tcW w:type="dxa" w:w="2268"/>
          </w:tcPr>
          <w:p>
            <w:pPr>
              <w:keepNext/>
            </w:pPr>
            <w:r/>
            <w:r>
              <w:rPr>
                <w:sz w:val="17"/>
              </w:rPr>
              <w:t>$</w:t>
            </w:r>
          </w:p>
        </w:tc>
      </w:tr>
      <w:tr>
        <w:trPr>
          <w:cantSplit/>
        </w:trPr>
        <w:tc>
          <w:tcPr>
            <w:tcW w:type="dxa" w:w="907"/>
          </w:tcPr>
          <w:p>
            <w:pPr>
              <w:keepNext/>
            </w:pPr>
            <w:r/>
            <w:r>
              <w:rPr>
                <w:sz w:val="17"/>
              </w:rPr>
              <w:t>A4</w:t>
            </w:r>
          </w:p>
        </w:tc>
        <w:tc>
          <w:tcPr>
            <w:tcW w:type="dxa" w:w="6463"/>
          </w:tcPr>
          <w:p>
            <w:pPr>
              <w:keepNext/>
            </w:pPr>
            <w:r/>
            <w:r>
              <w:rPr>
                <w:sz w:val="17"/>
              </w:rPr>
              <w:t>Report chapter, responses to comments and RPEQ sign-off</w:t>
            </w:r>
          </w:p>
        </w:tc>
        <w:tc>
          <w:tcPr>
            <w:tcW w:type="dxa" w:w="2268"/>
          </w:tcPr>
          <w:p>
            <w:pPr>
              <w:keepNext/>
            </w:pPr>
            <w:r/>
            <w:r>
              <w:rPr>
                <w:sz w:val="17"/>
              </w:rPr>
              <w:t>$</w:t>
            </w:r>
          </w:p>
        </w:tc>
      </w:tr>
      <w:tr>
        <w:trPr>
          <w:cantSplit/>
        </w:trPr>
        <w:tc>
          <w:tcPr>
            <w:tcW w:type="dxa" w:w="907"/>
          </w:tcPr>
          <w:p>
            <w:pPr>
              <w:keepNext/>
            </w:pPr>
            <w:r/>
            <w:r>
              <w:rPr>
                <w:sz w:val="17"/>
              </w:rPr>
              <w:t>B1</w:t>
            </w:r>
          </w:p>
        </w:tc>
        <w:tc>
          <w:tcPr>
            <w:tcW w:type="dxa" w:w="6463"/>
          </w:tcPr>
          <w:p>
            <w:pPr>
              <w:keepNext/>
            </w:pPr>
            <w:r/>
            <w:r>
              <w:rPr>
                <w:sz w:val="17"/>
              </w:rPr>
              <w:t>Option B: RPEQ (Civil) supervision and sign-off of JCE civil inputs</w:t>
            </w:r>
          </w:p>
        </w:tc>
        <w:tc>
          <w:tcPr>
            <w:tcW w:type="dxa" w:w="2268"/>
          </w:tcPr>
          <w:p>
            <w:pPr>
              <w:keepNext/>
            </w:pPr>
            <w:r/>
            <w:r>
              <w:rPr>
                <w:sz w:val="17"/>
              </w:rPr>
              <w:t>$</w:t>
            </w:r>
          </w:p>
        </w:tc>
      </w:tr>
      <w:tr>
        <w:trPr>
          <w:cantSplit/>
        </w:trPr>
        <w:tc>
          <w:tcPr>
            <w:tcW w:type="dxa" w:w="907"/>
            <w:shd w:val="clear" w:color="auto" w:fill="F3ECD3"/>
          </w:tcPr>
          <w:p>
            <w:r/>
            <w:r>
              <w:rPr>
                <w:b/>
                <w:sz w:val="17"/>
              </w:rPr>
            </w:r>
          </w:p>
        </w:tc>
        <w:tc>
          <w:tcPr>
            <w:tcW w:type="dxa" w:w="6463"/>
            <w:shd w:val="clear" w:color="auto" w:fill="F3ECD3"/>
          </w:tcPr>
          <w:p>
            <w:r/>
            <w:r>
              <w:rPr>
                <w:b/>
                <w:sz w:val="17"/>
              </w:rPr>
              <w:t>Total (excluding GST)</w:t>
            </w:r>
          </w:p>
        </w:tc>
        <w:tc>
          <w:tcPr>
            <w:tcW w:type="dxa" w:w="2268"/>
            <w:shd w:val="clear" w:color="auto" w:fill="F3ECD3"/>
          </w:tcPr>
          <w:p>
            <w:r/>
            <w:r>
              <w:rPr>
                <w:b/>
                <w:sz w:val="17"/>
              </w:rPr>
              <w:t>$</w:t>
            </w:r>
          </w:p>
        </w:tc>
      </w:tr>
    </w:tbl>
    <w:p>
      <w:pPr>
        <w:spacing w:after="40"/>
      </w:pPr>
    </w:p>
    <w:p>
      <w:pPr>
        <w:keepNext w:val="0"/>
      </w:pPr>
      <w:r>
        <w:rPr>
          <w:i w:val="0"/>
        </w:rPr>
        <w:t>Please also provide hourly rates by role for variations, your assumptions and exclusions, and the travel allowance included.</w:t>
      </w:r>
    </w:p>
    <w:p>
      <w:pPr>
        <w:pStyle w:val="Heading1"/>
      </w:pPr>
      <w:r>
        <w:t>8.  Confidentiality and conditions</w:t>
      </w:r>
    </w:p>
    <w:p>
      <w:pPr>
        <w:pStyle w:val="ListBullet"/>
      </w:pPr>
      <w:r>
        <w:t>This RFQ and the tender information are confidential and are provided only for the purpose of preparing your quote. Please do not contact Council about the tender; send all questions to JCE.</w:t>
      </w:r>
    </w:p>
    <w:p>
      <w:pPr>
        <w:pStyle w:val="ListBullet"/>
      </w:pPr>
      <w:r>
        <w:t>Any engagement depends on JCE being awarded the contract by Council. No fee is payable for preparing a quote.</w:t>
      </w:r>
    </w:p>
    <w:p>
      <w:pPr>
        <w:pStyle w:val="ListBullet"/>
      </w:pPr>
      <w:r>
        <w:t>An engagement would be on terms consistent with the head contract (Council Contract LGT2.4), including the insurance, intellectual property, confidentiality and modern slavery provisions.</w:t>
      </w:r>
    </w:p>
    <w:p>
      <w:pPr>
        <w:pStyle w:val="ListBullet"/>
      </w:pPr>
      <w:r>
        <w:t>JCE will name your firm and key personnel in its response only with your written agreement.</w:t>
      </w:r>
    </w:p>
    <w:p>
      <w:pPr>
        <w:keepNext/>
        <w:keepLines/>
      </w:pPr>
      <w:r>
        <w:t>Please call me on 0477 207 027 to discuss the scope.</w:t>
      </w:r>
    </w:p>
    <w:p>
      <w:pPr>
        <w:keepNext/>
        <w:keepLines/>
      </w:pPr>
      <w:r>
        <w:t>Yours faithfully,</w:t>
      </w:r>
    </w:p>
    <w:p>
      <w:pPr>
        <w:keepNext/>
        <w:keepLines/>
        <w:spacing w:before="280" w:after="200"/>
      </w:pPr>
      <w:r>
        <w:rPr>
          <w:i/>
          <w:color w:val="555555"/>
        </w:rPr>
        <w:t>[signature]</w:t>
      </w:r>
    </w:p>
    <w:p>
      <w:pPr>
        <w:keepNext/>
        <w:keepLines/>
      </w:pPr>
      <w:r>
        <w:rPr>
          <w:b/>
        </w:rPr>
        <w:t>Jayden Callen, Director</w:t>
      </w:r>
    </w:p>
    <w:p>
      <w:pPr>
        <w:keepNext/>
        <w:keepLines/>
      </w:pPr>
      <w:r>
        <w:t>JCE Infrastructure Pty Ltd (ABN 29 699 165 663)</w:t>
      </w:r>
    </w:p>
    <w:p>
      <w:r>
        <w:t>0477 207 027   |   jayden@jceinfrastructure.com.au</w:t>
      </w:r>
    </w:p>
    <w:sectPr w:rsidR="00FC693F" w:rsidRPr="0006063C" w:rsidSect="00034616">
      <w:footerReference w:type="default" r:id="rId9"/>
      <w:pgSz w:w="11906" w:h="16838"/>
      <w:pgMar w:top="90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5"/>
      </w:rPr>
      <w:t>JCE Infrastructure Pty Ltd  |  Confidential request for quotation JCE-RFQ-VP527224-MARI  |  12/10/2026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rial" w:hAnsi="Arial"/>
      <w:b/>
      <w:bCs/>
      <w:color w:val="C9A227"/>
      <w:sz w:val="22"/>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