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Comprehensive revaluation of transport assets: valuer</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JCE-RFQ-VP527819-03 Rev C</w:t>
            </w:r>
          </w:p>
        </w:tc>
      </w:tr>
      <w:tr>
        <w:trPr>
          <w:cantSplit/>
        </w:trPr>
        <w:tc>
          <w:tcPr>
            <w:tcW w:type="dxa" w:w="3012"/>
            <w:shd w:val="clear" w:color="auto" w:fill="F3E9C6"/>
          </w:tcPr>
          <w:p>
            <w:r/>
            <w:r>
              <w:rPr>
                <w:b/>
                <w:sz w:val="18"/>
              </w:rPr>
              <w:t>To</w:t>
            </w:r>
          </w:p>
        </w:tc>
        <w:tc>
          <w:tcPr>
            <w:tcW w:type="dxa" w:w="6626"/>
          </w:tcPr>
          <w:p>
            <w:pPr>
              <w:spacing w:after="20"/>
            </w:pPr>
            <w:r/>
            <w:r>
              <w:rPr>
                <w:sz w:val="18"/>
              </w:rPr>
              <w:t>[Firm and contact name]</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valuation services for Inner West Council's transport assets, as JCE's valuation partner and key subcontractor in its tender for RFT 47-26. Please price both options.</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r>
        <w:rPr>
          <w:i w:val="0"/>
        </w:rPr>
        <w:t>Council requires a comprehensive revaluation of the classes marked "Yes" in the Scope table: roads, footpaths, kerb and gutter, traffic devices, street furniture and other road assets, artwork, car park surfaces, car park assets and white way lighting (and retaining walls if Council selects that option). It must comply with AASB 13 Fair Value Measurement, AASB 116 Property, Plant and Equipment, AASB 136 Impairment of Assets and AASB 2022-10, and follow the IPWEA guidance notes on asset valuation for financial reporting. Values recalculated from Rawlinsons, internal data or other sources must be verified, and all working papers provided with the draft and final revaluation reports by 31/03/2027. JCE supplies the audit data (inventory, dimensions, interval and overall condition) for every asset.</w:t>
      </w:r>
    </w:p>
    <w:p>
      <w:pPr>
        <w:pStyle w:val="Heading2"/>
      </w:pPr>
      <w:r>
        <w:t>Option 1: review and sign-off</w:t>
      </w:r>
    </w:p>
    <w:p>
      <w:pPr>
        <w:pStyle w:val="ListBullet"/>
        <w:spacing w:after="40"/>
      </w:pPr>
      <w:r>
        <w:t>Agree the revaluation methodology, componentisation, valuation units, valuation date and fair value hierarchy with JCE and Council's finance team (methodology report by 22/01/2027).</w:t>
      </w:r>
    </w:p>
    <w:p>
      <w:pPr>
        <w:pStyle w:val="ListBullet"/>
        <w:spacing w:after="40"/>
      </w:pPr>
      <w:r>
        <w:t>Review JCE's unit rates, useful lives, residual values, condition to remaining life relationships and calculations, and sign the revaluation report as the qualified valuer.</w:t>
      </w:r>
    </w:p>
    <w:p>
      <w:pPr>
        <w:pStyle w:val="Heading2"/>
      </w:pPr>
      <w:r>
        <w:t>Option 2: full revaluation</w:t>
      </w:r>
    </w:p>
    <w:p>
      <w:pPr>
        <w:pStyle w:val="ListBullet"/>
        <w:spacing w:after="40"/>
      </w:pPr>
      <w:r>
        <w:t>As for Option 1, but you prepare the unit rates, calculations and reports from JCE's audit data, with JCE's engineering input on rates and condition.</w:t>
      </w:r>
    </w:p>
    <w:p>
      <w:pPr>
        <w:pStyle w:val="Heading2"/>
      </w:pPr>
      <w:r>
        <w:t>Both options</w:t>
      </w:r>
    </w:p>
    <w:p>
      <w:pPr>
        <w:pStyle w:val="ListBullet"/>
        <w:spacing w:after="40"/>
      </w:pPr>
      <w:r>
        <w:t>Advice on valuing artwork (paintings, mosaics, sculptures, murals, plaques): replacement cost or a specialist art valuation, with any specialist fee stated.</w:t>
      </w:r>
    </w:p>
    <w:p>
      <w:pPr>
        <w:pStyle w:val="ListBullet"/>
        <w:spacing w:after="40"/>
      </w:pPr>
      <w:r>
        <w:t>Responses to Council and Audit Office of NSW queries after March 2027, at hourly rates (allow ten (10) hours).</w:t>
      </w:r>
    </w:p>
    <w:p>
      <w:pPr>
        <w:pStyle w:val="Heading2"/>
      </w:pPr>
      <w:r>
        <w:t>Deliverables</w:t>
      </w:r>
    </w:p>
    <w:p>
      <w:pPr>
        <w:pStyle w:val="ListBullet"/>
        <w:spacing w:after="40"/>
      </w:pPr>
      <w:r>
        <w:t>Revaluation methodology report (PDF).</w:t>
      </w:r>
    </w:p>
    <w:p>
      <w:pPr>
        <w:pStyle w:val="ListBullet"/>
        <w:spacing w:after="40"/>
      </w:pPr>
      <w:r>
        <w:t>Draft and final revaluation reports (PDF), signed by your qualified valuer, with fair value hierarchy and financial statement note inputs.</w:t>
      </w:r>
    </w:p>
    <w:p>
      <w:pPr>
        <w:pStyle w:val="ListBullet"/>
        <w:spacing w:after="40"/>
      </w:pPr>
      <w:r>
        <w:t>Revaluation calculations and working papers (XLSX), keyed to Council's Asset_IDs.</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Revaluation methodology report</w:t>
            </w:r>
          </w:p>
        </w:tc>
        <w:tc>
          <w:tcPr>
            <w:tcW w:type="dxa" w:w="3855"/>
          </w:tcPr>
          <w:p>
            <w:pPr>
              <w:keepNext/>
              <w:spacing w:after="20"/>
            </w:pPr>
            <w:r/>
            <w:r>
              <w:rPr>
                <w:sz w:val="17"/>
              </w:rPr>
              <w:t>Friday 22/01/2027</w:t>
            </w:r>
          </w:p>
        </w:tc>
      </w:tr>
      <w:tr>
        <w:trPr>
          <w:cantSplit/>
        </w:trPr>
        <w:tc>
          <w:tcPr>
            <w:tcW w:type="dxa" w:w="5783"/>
            <w:shd w:val="clear" w:color="auto" w:fill="F7F7F7"/>
          </w:tcPr>
          <w:p>
            <w:pPr>
              <w:spacing w:after="20"/>
            </w:pPr>
            <w:r/>
            <w:r>
              <w:rPr>
                <w:sz w:val="17"/>
              </w:rPr>
              <w:t>Unit rates, useful lives and remaining life relationships</w:t>
            </w:r>
          </w:p>
        </w:tc>
        <w:tc>
          <w:tcPr>
            <w:tcW w:type="dxa" w:w="3855"/>
            <w:shd w:val="clear" w:color="auto" w:fill="F7F7F7"/>
          </w:tcPr>
          <w:p>
            <w:pPr>
              <w:spacing w:after="20"/>
            </w:pPr>
            <w:r/>
            <w:r>
              <w:rPr>
                <w:sz w:val="17"/>
              </w:rPr>
              <w:t>Friday 19/02/2027</w:t>
            </w:r>
          </w:p>
        </w:tc>
      </w:tr>
      <w:tr>
        <w:trPr>
          <w:cantSplit/>
        </w:trPr>
        <w:tc>
          <w:tcPr>
            <w:tcW w:type="dxa" w:w="5783"/>
          </w:tcPr>
          <w:p>
            <w:pPr>
              <w:spacing w:after="20"/>
            </w:pPr>
            <w:r/>
            <w:r>
              <w:rPr>
                <w:sz w:val="17"/>
              </w:rPr>
              <w:t>Audit data complete from JCE</w:t>
            </w:r>
          </w:p>
        </w:tc>
        <w:tc>
          <w:tcPr>
            <w:tcW w:type="dxa" w:w="3855"/>
          </w:tcPr>
          <w:p>
            <w:pPr>
              <w:spacing w:after="20"/>
            </w:pPr>
            <w:r/>
            <w:r>
              <w:rPr>
                <w:sz w:val="17"/>
              </w:rPr>
              <w:t>Friday 12/03/2027</w:t>
            </w:r>
          </w:p>
        </w:tc>
      </w:tr>
      <w:tr>
        <w:trPr>
          <w:cantSplit/>
        </w:trPr>
        <w:tc>
          <w:tcPr>
            <w:tcW w:type="dxa" w:w="5783"/>
            <w:shd w:val="clear" w:color="auto" w:fill="F7F7F7"/>
          </w:tcPr>
          <w:p>
            <w:pPr>
              <w:spacing w:after="20"/>
            </w:pPr>
            <w:r/>
            <w:r>
              <w:rPr>
                <w:sz w:val="17"/>
              </w:rPr>
              <w:t>Draft revaluation report and calculations</w:t>
            </w:r>
          </w:p>
        </w:tc>
        <w:tc>
          <w:tcPr>
            <w:tcW w:type="dxa" w:w="3855"/>
            <w:shd w:val="clear" w:color="auto" w:fill="F7F7F7"/>
          </w:tcPr>
          <w:p>
            <w:pPr>
              <w:spacing w:after="20"/>
            </w:pPr>
            <w:r/>
            <w:r>
              <w:rPr>
                <w:sz w:val="17"/>
              </w:rPr>
              <w:t>Friday 19/03/2027</w:t>
            </w:r>
          </w:p>
        </w:tc>
      </w:tr>
      <w:tr>
        <w:trPr>
          <w:cantSplit/>
        </w:trPr>
        <w:tc>
          <w:tcPr>
            <w:tcW w:type="dxa" w:w="5783"/>
          </w:tcPr>
          <w:p>
            <w:pPr>
              <w:spacing w:after="20"/>
            </w:pPr>
            <w:r/>
            <w:r>
              <w:rPr>
                <w:sz w:val="17"/>
              </w:rPr>
              <w:t>Final revaluation report</w:t>
            </w:r>
          </w:p>
        </w:tc>
        <w:tc>
          <w:tcPr>
            <w:tcW w:type="dxa" w:w="3855"/>
          </w:tcPr>
          <w:p>
            <w:pPr>
              <w:spacing w:after="20"/>
            </w:pPr>
            <w:r/>
            <w:r>
              <w:rPr>
                <w:sz w:val="17"/>
              </w:rPr>
              <w:t>Wednesday 31/03/2027</w:t>
            </w:r>
          </w:p>
        </w:tc>
      </w:tr>
    </w:tbl>
    <w:p>
      <w:pPr>
        <w:spacing w:after="40"/>
      </w:pPr>
    </w:p>
    <w:p>
      <w:r>
        <w:rPr>
          <w:i w:val="0"/>
        </w:rPr>
        <w:t>Please confirm you can meet this program and name the valuer who will sign.</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Qualifications. </w:t>
      </w:r>
      <w:r>
        <w:t>The revaluation report must be signed by a qualified valuer with local government infrastructure valuation experience (for example an API Certified Practising Valuer, FAPI or MRICS). Please name the valuer and attach a CV listing NSW council infrastructure valuations.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V1</w:t>
            </w:r>
          </w:p>
        </w:tc>
        <w:tc>
          <w:tcPr>
            <w:tcW w:type="dxa" w:w="4475"/>
          </w:tcPr>
          <w:p>
            <w:pPr>
              <w:keepNext/>
              <w:spacing w:after="20"/>
            </w:pPr>
            <w:r/>
            <w:r>
              <w:rPr>
                <w:sz w:val="17"/>
              </w:rPr>
              <w:t>Option 1: review and sign-off of the revaluation, signed report</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V2</w:t>
            </w:r>
          </w:p>
        </w:tc>
        <w:tc>
          <w:tcPr>
            <w:tcW w:type="dxa" w:w="4475"/>
            <w:shd w:val="clear" w:color="auto" w:fill="F7F7F7"/>
          </w:tcPr>
          <w:p>
            <w:pPr>
              <w:spacing w:after="20"/>
            </w:pPr>
            <w:r/>
            <w:r>
              <w:rPr>
                <w:sz w:val="17"/>
              </w:rPr>
              <w:t>Option 2: full revaluation and reports (alternative to V1)</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V3</w:t>
            </w:r>
          </w:p>
        </w:tc>
        <w:tc>
          <w:tcPr>
            <w:tcW w:type="dxa" w:w="4475"/>
          </w:tcPr>
          <w:p>
            <w:pPr>
              <w:spacing w:after="20"/>
            </w:pPr>
            <w:r/>
            <w:r>
              <w:rPr>
                <w:sz w:val="17"/>
              </w:rPr>
              <w:t>Optional: retaining walls revaluation, if Council selects it</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V4</w:t>
            </w:r>
          </w:p>
        </w:tc>
        <w:tc>
          <w:tcPr>
            <w:tcW w:type="dxa" w:w="4475"/>
            <w:shd w:val="clear" w:color="auto" w:fill="F7F7F7"/>
          </w:tcPr>
          <w:p>
            <w:pPr>
              <w:spacing w:after="20"/>
            </w:pPr>
            <w:r/>
            <w:r>
              <w:rPr>
                <w:sz w:val="17"/>
              </w:rPr>
              <w:t>Artwork valuation advice (state approach and any specialist fee)</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V5</w:t>
            </w:r>
          </w:p>
        </w:tc>
        <w:tc>
          <w:tcPr>
            <w:tcW w:type="dxa" w:w="4475"/>
          </w:tcPr>
          <w:p>
            <w:pPr>
              <w:spacing w:after="20"/>
            </w:pPr>
            <w:r/>
            <w:r>
              <w:rPr>
                <w:sz w:val="17"/>
              </w:rPr>
              <w:t>Audit support after March 2027 (allow ten hours)</w:t>
            </w:r>
          </w:p>
        </w:tc>
        <w:tc>
          <w:tcPr>
            <w:tcW w:type="dxa" w:w="1033"/>
          </w:tcPr>
          <w:p>
            <w:pPr>
              <w:spacing w:after="20"/>
            </w:pPr>
            <w:r/>
            <w:r>
              <w:rPr>
                <w:sz w:val="17"/>
              </w:rPr>
              <w:t>hour</w:t>
            </w:r>
          </w:p>
        </w:tc>
        <w:tc>
          <w:tcPr>
            <w:tcW w:type="dxa" w:w="947"/>
          </w:tcPr>
          <w:p>
            <w:pPr>
              <w:spacing w:after="20"/>
            </w:pPr>
            <w:r/>
            <w:r>
              <w:rPr>
                <w:sz w:val="17"/>
              </w:rPr>
              <w:t>10</w:t>
            </w:r>
          </w:p>
        </w:tc>
        <w:tc>
          <w:tcPr>
            <w:tcW w:type="dxa" w:w="1205"/>
          </w:tcPr>
          <w:p>
            <w:pPr>
              <w:spacing w:after="20"/>
            </w:pPr>
            <w:r/>
            <w:r>
              <w:rPr>
                <w:sz w:val="17"/>
              </w:rPr>
            </w:r>
          </w:p>
        </w:tc>
        <w:tc>
          <w:tcPr>
            <w:tcW w:type="dxa" w:w="1291"/>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Director / principal valuer</w:t>
            </w:r>
          </w:p>
        </w:tc>
        <w:tc>
          <w:tcPr>
            <w:tcW w:type="dxa" w:w="2364"/>
          </w:tcPr>
          <w:p>
            <w:pPr>
              <w:keepNext/>
              <w:spacing w:after="20"/>
              <w:jc w:val="right"/>
            </w:pPr>
            <w:r/>
            <w:r>
              <w:rPr>
                <w:sz w:val="17"/>
              </w:rPr>
              <w:t>$ / hour</w:t>
            </w:r>
          </w:p>
        </w:tc>
      </w:tr>
      <w:tr>
        <w:trPr>
          <w:cantSplit/>
        </w:trPr>
        <w:tc>
          <w:tcPr>
            <w:tcW w:type="dxa" w:w="7274"/>
            <w:shd w:val="clear" w:color="auto" w:fill="F7F7F7"/>
          </w:tcPr>
          <w:p>
            <w:pPr>
              <w:spacing w:after="20"/>
            </w:pPr>
            <w:r/>
            <w:r>
              <w:rPr>
                <w:sz w:val="17"/>
              </w:rPr>
              <w:t>Senior valuer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Valuer / analyst</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Specialist art valuer (if used)</w:t>
            </w:r>
          </w:p>
        </w:tc>
        <w:tc>
          <w:tcPr>
            <w:tcW w:type="dxa" w:w="2364"/>
            <w:shd w:val="clear" w:color="auto" w:fill="F7F7F7"/>
          </w:tcPr>
          <w:p>
            <w:pPr>
              <w:spacing w:after="20"/>
              <w:jc w:val="right"/>
            </w:pPr>
            <w:r/>
            <w:r>
              <w:rPr>
                <w:sz w:val="17"/>
              </w:rPr>
              <w:t>$ / hour or fee</w:t>
            </w:r>
          </w:p>
        </w:tc>
      </w:tr>
      <w:tr>
        <w:trPr>
          <w:cantSplit/>
        </w:trPr>
        <w:tc>
          <w:tcPr>
            <w:tcW w:type="dxa" w:w="7274"/>
          </w:tcPr>
          <w:p>
            <w:pPr>
              <w:spacing w:after="20"/>
            </w:pPr>
            <w:r/>
            <w:r>
              <w:rPr>
                <w:sz w:val="17"/>
              </w:rPr>
              <w:t>Additional asset class valuation (state basis)</w:t>
            </w:r>
          </w:p>
        </w:tc>
        <w:tc>
          <w:tcPr>
            <w:tcW w:type="dxa" w:w="2364"/>
          </w:tcPr>
          <w:p>
            <w:pPr>
              <w:spacing w:after="20"/>
              <w:jc w:val="right"/>
            </w:pPr>
            <w:r/>
            <w:r>
              <w:rPr>
                <w:sz w:val="17"/>
              </w:rPr>
              <w:t>$ / class</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JCE-RFQ-VP527819-03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