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7"/>
        </w:rPr>
        <w:t>Civil and Hydraulic Engineering   |   ABN 29 699 165 663</w:t>
      </w:r>
    </w:p>
    <w:p>
      <w:pPr>
        <w:pBdr>
          <w:bottom w:val="single" w:sz="12" w:space="1" w:color="C9A227"/>
        </w:pBdr>
        <w:spacing w:after="200"/>
      </w:pPr>
      <w:r>
        <w:rPr>
          <w:color w:val="595959"/>
          <w:sz w:val="17"/>
        </w:rPr>
        <w:t>756 Quia Road, Gunnedah NSW 2380   |   0477 207 027   |   jayden@jceinfrastructure.com.au   |   jceinfrastructure.com.au</w:t>
      </w:r>
    </w:p>
    <w:p>
      <w:pPr>
        <w:spacing w:after="40"/>
      </w:pPr>
      <w:r>
        <w:rPr>
          <w:b/>
          <w:color w:val="C9A227"/>
          <w:sz w:val="18"/>
        </w:rPr>
        <w:t>REQUEST FOR QUOTATION</w:t>
      </w:r>
    </w:p>
    <w:p>
      <w:pPr>
        <w:spacing w:after="40"/>
      </w:pPr>
      <w:r>
        <w:rPr>
          <w:b/>
          <w:sz w:val="30"/>
        </w:rPr>
        <w:t>Comprehensive revaluation of transport assets: valuer</w:t>
      </w:r>
    </w:p>
    <w:p>
      <w:r>
        <w:rPr>
          <w:color w:val="595959"/>
          <w:sz w:val="20"/>
        </w:rPr>
        <w:t>Inner West Council RFT 47-26 Transport Assets Condition Audit &amp; Revaluations 2026/27  |  VendorPanel VP527819</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cantSplit/>
        </w:trPr>
        <w:tc>
          <w:tcPr>
            <w:tcW w:type="dxa" w:w="3012"/>
            <w:shd w:val="clear" w:color="auto" w:fill="F3E9C6"/>
          </w:tcPr>
          <w:p>
            <w:r/>
            <w:r>
              <w:rPr>
                <w:b/>
                <w:sz w:val="18"/>
              </w:rPr>
              <w:t>RFQ no.</w:t>
            </w:r>
          </w:p>
        </w:tc>
        <w:tc>
          <w:tcPr>
            <w:tcW w:type="dxa" w:w="6626"/>
          </w:tcPr>
          <w:p>
            <w:pPr>
              <w:spacing w:after="20"/>
            </w:pPr>
            <w:r/>
            <w:r>
              <w:rPr>
                <w:sz w:val="18"/>
              </w:rPr>
              <w:t>JCE-RFQ-VP527819-03 Rev C</w:t>
            </w:r>
          </w:p>
        </w:tc>
      </w:tr>
      <w:tr>
        <w:trPr>
          <w:cantSplit/>
        </w:trPr>
        <w:tc>
          <w:tcPr>
            <w:tcW w:type="dxa" w:w="3012"/>
            <w:shd w:val="clear" w:color="auto" w:fill="F3E9C6"/>
          </w:tcPr>
          <w:p>
            <w:r/>
            <w:r>
              <w:rPr>
                <w:b/>
                <w:sz w:val="18"/>
              </w:rPr>
              <w:t>To</w:t>
            </w:r>
          </w:p>
        </w:tc>
        <w:tc>
          <w:tcPr>
            <w:tcW w:type="dxa" w:w="6626"/>
          </w:tcPr>
          <w:p>
            <w:pPr>
              <w:spacing w:after="20"/>
            </w:pPr>
            <w:r/>
            <w:r>
              <w:rPr>
                <w:sz w:val="18"/>
              </w:rPr>
              <w:t>APV Valuers &amp; Asset Management (local government infrastructure valuations)</w:t>
            </w:r>
          </w:p>
        </w:tc>
      </w:tr>
      <w:tr>
        <w:trPr>
          <w:cantSplit/>
        </w:trPr>
        <w:tc>
          <w:tcPr>
            <w:tcW w:type="dxa" w:w="3012"/>
            <w:shd w:val="clear" w:color="auto" w:fill="F3E9C6"/>
          </w:tcPr>
          <w:p>
            <w:r/>
            <w:r>
              <w:rPr>
                <w:b/>
                <w:sz w:val="18"/>
              </w:rPr>
              <w:t>From</w:t>
            </w:r>
          </w:p>
        </w:tc>
        <w:tc>
          <w:tcPr>
            <w:tcW w:type="dxa" w:w="6626"/>
          </w:tcPr>
          <w:p>
            <w:pPr>
              <w:spacing w:after="20"/>
            </w:pPr>
            <w:r/>
            <w:r>
              <w:rPr>
                <w:sz w:val="18"/>
              </w:rPr>
              <w:t>Jayden Callen, Director, JCE Infrastructure Pty Ltd</w:t>
            </w:r>
          </w:p>
        </w:tc>
      </w:tr>
      <w:tr>
        <w:trPr>
          <w:cantSplit/>
        </w:trPr>
        <w:tc>
          <w:tcPr>
            <w:tcW w:type="dxa" w:w="3012"/>
            <w:shd w:val="clear" w:color="auto" w:fill="F3E9C6"/>
          </w:tcPr>
          <w:p>
            <w:r/>
            <w:r>
              <w:rPr>
                <w:b/>
                <w:sz w:val="18"/>
              </w:rPr>
              <w:t>Date</w:t>
            </w:r>
          </w:p>
        </w:tc>
        <w:tc>
          <w:tcPr>
            <w:tcW w:type="dxa" w:w="6626"/>
          </w:tcPr>
          <w:p>
            <w:pPr>
              <w:spacing w:after="20"/>
            </w:pPr>
            <w:r/>
            <w:r>
              <w:rPr>
                <w:sz w:val="18"/>
              </w:rPr>
              <w:t>12/10/2026</w:t>
            </w:r>
          </w:p>
        </w:tc>
      </w:tr>
      <w:tr>
        <w:trPr>
          <w:cantSplit/>
        </w:trPr>
        <w:tc>
          <w:tcPr>
            <w:tcW w:type="dxa" w:w="3012"/>
            <w:shd w:val="clear" w:color="auto" w:fill="F3E9C6"/>
          </w:tcPr>
          <w:p>
            <w:r/>
            <w:r>
              <w:rPr>
                <w:b/>
                <w:sz w:val="18"/>
              </w:rPr>
              <w:t>Quote due</w:t>
            </w:r>
          </w:p>
        </w:tc>
        <w:tc>
          <w:tcPr>
            <w:tcW w:type="dxa" w:w="6626"/>
          </w:tcPr>
          <w:p>
            <w:pPr>
              <w:spacing w:after="20"/>
            </w:pPr>
            <w:r/>
            <w:r>
              <w:rPr>
                <w:sz w:val="18"/>
              </w:rPr>
              <w:t>12:00 pm, Wednesday 21/10/2026</w:t>
            </w:r>
          </w:p>
        </w:tc>
      </w:tr>
      <w:tr>
        <w:trPr>
          <w:cantSplit/>
        </w:trPr>
        <w:tc>
          <w:tcPr>
            <w:tcW w:type="dxa" w:w="3012"/>
            <w:shd w:val="clear" w:color="auto" w:fill="F3E9C6"/>
          </w:tcPr>
          <w:p>
            <w:r/>
            <w:r>
              <w:rPr>
                <w:b/>
                <w:sz w:val="18"/>
              </w:rPr>
              <w:t>Tender closes</w:t>
            </w:r>
          </w:p>
        </w:tc>
        <w:tc>
          <w:tcPr>
            <w:tcW w:type="dxa" w:w="6626"/>
          </w:tcPr>
          <w:p>
            <w:pPr>
              <w:spacing w:after="20"/>
            </w:pPr>
            <w:r/>
            <w:r>
              <w:rPr>
                <w:sz w:val="18"/>
              </w:rPr>
              <w:t>2:00 pm, Wednesday 28/10/2026</w:t>
            </w:r>
          </w:p>
        </w:tc>
      </w:tr>
      <w:tr>
        <w:trPr>
          <w:cantSplit/>
        </w:trPr>
        <w:tc>
          <w:tcPr>
            <w:tcW w:type="dxa" w:w="3012"/>
            <w:shd w:val="clear" w:color="auto" w:fill="F3E9C6"/>
          </w:tcPr>
          <w:p>
            <w:r/>
            <w:r>
              <w:rPr>
                <w:b/>
                <w:sz w:val="18"/>
              </w:rPr>
              <w:t>Reply to</w:t>
            </w:r>
          </w:p>
        </w:tc>
        <w:tc>
          <w:tcPr>
            <w:tcW w:type="dxa" w:w="6626"/>
          </w:tcPr>
          <w:p>
            <w:pPr>
              <w:spacing w:after="20"/>
            </w:pPr>
            <w:r/>
            <w:r>
              <w:rPr>
                <w:sz w:val="18"/>
              </w:rPr>
              <w:t>jayden@jceinfrastructure.com.au  |  0477 207 027</w:t>
            </w:r>
          </w:p>
        </w:tc>
      </w:tr>
      <w:tr>
        <w:trPr>
          <w:cantSplit/>
        </w:trPr>
        <w:tc>
          <w:tcPr>
            <w:tcW w:type="dxa" w:w="3012"/>
            <w:shd w:val="clear" w:color="auto" w:fill="F3E9C6"/>
          </w:tcPr>
          <w:p>
            <w:r/>
            <w:r>
              <w:rPr>
                <w:b/>
                <w:sz w:val="18"/>
              </w:rPr>
              <w:t>Status</w:t>
            </w:r>
          </w:p>
        </w:tc>
        <w:tc>
          <w:tcPr>
            <w:tcW w:type="dxa" w:w="6626"/>
          </w:tcPr>
          <w:p>
            <w:pPr>
              <w:spacing w:after="20"/>
            </w:pPr>
            <w:r/>
            <w:r>
              <w:rPr>
                <w:sz w:val="18"/>
              </w:rPr>
              <w:t>Pricing request for a tender. Engagement depends on JCE winning the work.</w:t>
            </w:r>
          </w:p>
        </w:tc>
      </w:tr>
    </w:tbl>
    <w:p>
      <w:pPr>
        <w:spacing w:after="40"/>
      </w:pPr>
    </w:p>
    <w:p>
      <w:r>
        <w:rPr>
          <w:i w:val="0"/>
        </w:rPr>
        <w:t>JCE invites you to quote for valuation services for Inner West Council's transport assets, as JCE's valuation partner and key subcontractor in its tender for RFT 47-26. Please price both options.</w:t>
      </w:r>
    </w:p>
    <w:p>
      <w:pPr>
        <w:pStyle w:val="Heading1"/>
        <w:pBdr>
          <w:bottom w:val="single" w:sz="6" w:space="1" w:color="C9A227"/>
        </w:pBdr>
      </w:pPr>
      <w:r>
        <w:t>1.0   Project and tender background</w:t>
      </w:r>
    </w:p>
    <w:p>
      <w:r>
        <w:rPr>
          <w:i w:val="0"/>
        </w:rPr>
        <w:t>Inner West Council (Council) has invited tenders (RFT 47-26, VendorPanel VP527819) for a comprehensive condition audit and revaluation of its transport asset network, with documented programs for capital renewal, upgrade and maintenance works. JCE Infrastructure Pty Ltd (JCE) is tendering as Prime Contractor. Council will deal only with the Prime Contractor. Council expects to award in November 2026 and requires the audit data, spatial layers and revaluation reports by 31/03/2027 (Optional Service A by 30/06/2027). Prices are lump sums. Council's quantities are indicative and the contract price is deemed to include any additional assets found: no variation is paid for higher quantities.</w:t>
      </w:r>
    </w:p>
    <w:p>
      <w:r>
        <w:rPr>
          <w:i w:val="0"/>
        </w:rPr>
        <w:t>Council's Scope table:</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409"/>
        <w:gridCol w:w="2409"/>
        <w:gridCol w:w="2409"/>
        <w:gridCol w:w="2409"/>
      </w:tblGrid>
      <w:tr>
        <w:trPr>
          <w:tblHeader/>
          <w:cantSplit/>
        </w:trPr>
        <w:tc>
          <w:tcPr>
            <w:tcW w:type="dxa" w:w="4190"/>
            <w:shd w:val="clear" w:color="auto" w:fill="000000"/>
          </w:tcPr>
          <w:p>
            <w:pPr>
              <w:keepNext/>
            </w:pPr>
            <w:r/>
            <w:r>
              <w:rPr>
                <w:b/>
                <w:color w:val="FFFFFF"/>
                <w:sz w:val="17"/>
              </w:rPr>
              <w:t>Asset class</w:t>
            </w:r>
          </w:p>
        </w:tc>
        <w:tc>
          <w:tcPr>
            <w:tcW w:type="dxa" w:w="2514"/>
            <w:shd w:val="clear" w:color="auto" w:fill="000000"/>
          </w:tcPr>
          <w:p>
            <w:pPr>
              <w:keepNext/>
            </w:pPr>
            <w:r/>
            <w:r>
              <w:rPr>
                <w:b/>
                <w:color w:val="FFFFFF"/>
                <w:sz w:val="17"/>
              </w:rPr>
              <w:t>Estimated quantity</w:t>
            </w:r>
          </w:p>
        </w:tc>
        <w:tc>
          <w:tcPr>
            <w:tcW w:type="dxa" w:w="1844"/>
            <w:shd w:val="clear" w:color="auto" w:fill="000000"/>
          </w:tcPr>
          <w:p>
            <w:pPr>
              <w:keepNext/>
            </w:pPr>
            <w:r/>
            <w:r>
              <w:rPr>
                <w:b/>
                <w:color w:val="FFFFFF"/>
                <w:sz w:val="17"/>
              </w:rPr>
              <w:t>Condition</w:t>
            </w:r>
          </w:p>
        </w:tc>
        <w:tc>
          <w:tcPr>
            <w:tcW w:type="dxa" w:w="1089"/>
            <w:shd w:val="clear" w:color="auto" w:fill="000000"/>
          </w:tcPr>
          <w:p>
            <w:pPr>
              <w:keepNext/>
            </w:pPr>
            <w:r/>
            <w:r>
              <w:rPr>
                <w:b/>
                <w:color w:val="FFFFFF"/>
                <w:sz w:val="17"/>
              </w:rPr>
              <w:t>Revalue</w:t>
            </w:r>
          </w:p>
        </w:tc>
      </w:tr>
      <w:tr>
        <w:trPr>
          <w:cantSplit/>
        </w:trPr>
        <w:tc>
          <w:tcPr>
            <w:tcW w:type="dxa" w:w="4190"/>
          </w:tcPr>
          <w:p>
            <w:pPr>
              <w:keepNext/>
              <w:spacing w:after="20"/>
            </w:pPr>
            <w:r/>
            <w:r>
              <w:rPr>
                <w:sz w:val="17"/>
              </w:rPr>
              <w:t>Roads (State roads excluded; regional roads both directions)</w:t>
            </w:r>
          </w:p>
        </w:tc>
        <w:tc>
          <w:tcPr>
            <w:tcW w:type="dxa" w:w="2514"/>
          </w:tcPr>
          <w:p>
            <w:pPr>
              <w:keepNext/>
              <w:spacing w:after="20"/>
            </w:pPr>
            <w:r/>
            <w:r>
              <w:rPr>
                <w:sz w:val="17"/>
              </w:rPr>
              <w:t>464 km (3,852,677 m²)</w:t>
            </w:r>
          </w:p>
        </w:tc>
        <w:tc>
          <w:tcPr>
            <w:tcW w:type="dxa" w:w="1844"/>
          </w:tcPr>
          <w:p>
            <w:pPr>
              <w:keepNext/>
              <w:spacing w:after="20"/>
            </w:pPr>
            <w:r/>
            <w:r>
              <w:rPr>
                <w:sz w:val="17"/>
              </w:rPr>
              <w:t>Overall + every 50 m</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Footpaths (incl. on State roads); footpath and verge widths and areas</w:t>
            </w:r>
          </w:p>
        </w:tc>
        <w:tc>
          <w:tcPr>
            <w:tcW w:type="dxa" w:w="2514"/>
            <w:shd w:val="clear" w:color="auto" w:fill="F7F7F7"/>
          </w:tcPr>
          <w:p>
            <w:pPr>
              <w:keepNext/>
              <w:spacing w:after="20"/>
            </w:pPr>
            <w:r/>
            <w:r>
              <w:rPr>
                <w:sz w:val="17"/>
              </w:rPr>
              <w:t>844 km (8,862 segments)</w:t>
            </w:r>
          </w:p>
        </w:tc>
        <w:tc>
          <w:tcPr>
            <w:tcW w:type="dxa" w:w="1844"/>
            <w:shd w:val="clear" w:color="auto" w:fill="F7F7F7"/>
          </w:tcPr>
          <w:p>
            <w:pPr>
              <w:keepNext/>
              <w:spacing w:after="20"/>
            </w:pPr>
            <w:r/>
            <w:r>
              <w:rPr>
                <w:sz w:val="17"/>
              </w:rPr>
              <w:t>Overall + every 20 m</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Kerb and gutter (State roads excluded)</w:t>
            </w:r>
          </w:p>
        </w:tc>
        <w:tc>
          <w:tcPr>
            <w:tcW w:type="dxa" w:w="2514"/>
          </w:tcPr>
          <w:p>
            <w:pPr>
              <w:keepNext/>
              <w:spacing w:after="20"/>
            </w:pPr>
            <w:r/>
            <w:r>
              <w:rPr>
                <w:sz w:val="17"/>
              </w:rPr>
              <w:t>865.9 km</w:t>
            </w:r>
          </w:p>
        </w:tc>
        <w:tc>
          <w:tcPr>
            <w:tcW w:type="dxa" w:w="1844"/>
          </w:tcPr>
          <w:p>
            <w:pPr>
              <w:keepNext/>
              <w:spacing w:after="20"/>
            </w:pPr>
            <w:r/>
            <w:r>
              <w:rPr>
                <w:sz w:val="17"/>
              </w:rPr>
              <w:t>Overall + every 10 m</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Traffic devices (LATM), with dimensions</w:t>
            </w:r>
          </w:p>
        </w:tc>
        <w:tc>
          <w:tcPr>
            <w:tcW w:type="dxa" w:w="2514"/>
            <w:shd w:val="clear" w:color="auto" w:fill="F7F7F7"/>
          </w:tcPr>
          <w:p>
            <w:pPr>
              <w:keepNext/>
              <w:spacing w:after="20"/>
            </w:pPr>
            <w:r/>
            <w:r>
              <w:rPr>
                <w:sz w:val="17"/>
              </w:rPr>
              <w:t>4,885</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Street furniture and other road assets</w:t>
            </w:r>
          </w:p>
        </w:tc>
        <w:tc>
          <w:tcPr>
            <w:tcW w:type="dxa" w:w="2514"/>
          </w:tcPr>
          <w:p>
            <w:pPr>
              <w:keepNext/>
              <w:spacing w:after="20"/>
            </w:pPr>
            <w:r/>
            <w:r>
              <w:rPr>
                <w:sz w:val="17"/>
              </w:rPr>
              <w:t>5,972</w:t>
            </w:r>
          </w:p>
        </w:tc>
        <w:tc>
          <w:tcPr>
            <w:tcW w:type="dxa" w:w="1844"/>
          </w:tcPr>
          <w:p>
            <w:pPr>
              <w:keepNext/>
              <w:spacing w:after="20"/>
            </w:pPr>
            <w:r/>
            <w:r>
              <w:rPr>
                <w:sz w:val="17"/>
              </w:rPr>
              <w:t>Overall</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Artwork</w:t>
            </w:r>
          </w:p>
        </w:tc>
        <w:tc>
          <w:tcPr>
            <w:tcW w:type="dxa" w:w="2514"/>
            <w:shd w:val="clear" w:color="auto" w:fill="F7F7F7"/>
          </w:tcPr>
          <w:p>
            <w:pPr>
              <w:keepNext/>
              <w:spacing w:after="20"/>
            </w:pPr>
            <w:r/>
            <w:r>
              <w:rPr>
                <w:sz w:val="17"/>
              </w:rPr>
              <w:t>Unknown</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Car park surfaces; car park assets</w:t>
            </w:r>
          </w:p>
        </w:tc>
        <w:tc>
          <w:tcPr>
            <w:tcW w:type="dxa" w:w="2514"/>
          </w:tcPr>
          <w:p>
            <w:pPr>
              <w:keepNext/>
              <w:spacing w:after="20"/>
            </w:pPr>
            <w:r/>
            <w:r>
              <w:rPr>
                <w:sz w:val="17"/>
              </w:rPr>
              <w:t>81 locations (143,266 m²); 1,533</w:t>
            </w:r>
          </w:p>
        </w:tc>
        <w:tc>
          <w:tcPr>
            <w:tcW w:type="dxa" w:w="1844"/>
          </w:tcPr>
          <w:p>
            <w:pPr>
              <w:keepNext/>
              <w:spacing w:after="20"/>
            </w:pPr>
            <w:r/>
            <w:r>
              <w:rPr>
                <w:sz w:val="17"/>
              </w:rPr>
              <w:t>Overall</w:t>
            </w:r>
          </w:p>
        </w:tc>
        <w:tc>
          <w:tcPr>
            <w:tcW w:type="dxa" w:w="1089"/>
          </w:tcPr>
          <w:p>
            <w:pPr>
              <w:keepNext/>
              <w:spacing w:after="20"/>
            </w:pPr>
            <w:r/>
            <w:r>
              <w:rPr>
                <w:sz w:val="17"/>
              </w:rPr>
              <w:t>Yes</w:t>
            </w:r>
          </w:p>
        </w:tc>
      </w:tr>
      <w:tr>
        <w:trPr>
          <w:cantSplit/>
        </w:trPr>
        <w:tc>
          <w:tcPr>
            <w:tcW w:type="dxa" w:w="4190"/>
            <w:shd w:val="clear" w:color="auto" w:fill="F7F7F7"/>
          </w:tcPr>
          <w:p>
            <w:pPr>
              <w:keepNext/>
              <w:spacing w:after="20"/>
            </w:pPr>
            <w:r/>
            <w:r>
              <w:rPr>
                <w:sz w:val="17"/>
              </w:rPr>
              <w:t>White way (under-awning) lighting, new class</w:t>
            </w:r>
          </w:p>
        </w:tc>
        <w:tc>
          <w:tcPr>
            <w:tcW w:type="dxa" w:w="2514"/>
            <w:shd w:val="clear" w:color="auto" w:fill="F7F7F7"/>
          </w:tcPr>
          <w:p>
            <w:pPr>
              <w:keepNext/>
              <w:spacing w:after="20"/>
            </w:pPr>
            <w:r/>
            <w:r>
              <w:rPr>
                <w:sz w:val="17"/>
              </w:rPr>
              <w:t>1,500+</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Yes</w:t>
            </w:r>
          </w:p>
        </w:tc>
      </w:tr>
      <w:tr>
        <w:trPr>
          <w:cantSplit/>
        </w:trPr>
        <w:tc>
          <w:tcPr>
            <w:tcW w:type="dxa" w:w="4190"/>
          </w:tcPr>
          <w:p>
            <w:pPr>
              <w:keepNext/>
              <w:spacing w:after="20"/>
            </w:pPr>
            <w:r/>
            <w:r>
              <w:rPr>
                <w:sz w:val="17"/>
              </w:rPr>
              <w:t>Signage, all types, categorised</w:t>
            </w:r>
          </w:p>
        </w:tc>
        <w:tc>
          <w:tcPr>
            <w:tcW w:type="dxa" w:w="2514"/>
          </w:tcPr>
          <w:p>
            <w:pPr>
              <w:keepNext/>
              <w:spacing w:after="20"/>
            </w:pPr>
            <w:r/>
            <w:r>
              <w:rPr>
                <w:sz w:val="17"/>
              </w:rPr>
              <w:t>50,000+</w:t>
            </w:r>
          </w:p>
        </w:tc>
        <w:tc>
          <w:tcPr>
            <w:tcW w:type="dxa" w:w="1844"/>
          </w:tcPr>
          <w:p>
            <w:pPr>
              <w:keepNext/>
              <w:spacing w:after="20"/>
            </w:pPr>
            <w:r/>
            <w:r>
              <w:rPr>
                <w:sz w:val="17"/>
              </w:rPr>
              <w:t>Overall</w:t>
            </w:r>
          </w:p>
        </w:tc>
        <w:tc>
          <w:tcPr>
            <w:tcW w:type="dxa" w:w="1089"/>
          </w:tcPr>
          <w:p>
            <w:pPr>
              <w:keepNext/>
              <w:spacing w:after="20"/>
            </w:pPr>
            <w:r/>
            <w:r>
              <w:rPr>
                <w:sz w:val="17"/>
              </w:rPr>
              <w:t>No</w:t>
            </w:r>
          </w:p>
        </w:tc>
      </w:tr>
      <w:tr>
        <w:trPr>
          <w:cantSplit/>
        </w:trPr>
        <w:tc>
          <w:tcPr>
            <w:tcW w:type="dxa" w:w="4190"/>
            <w:shd w:val="clear" w:color="auto" w:fill="F7F7F7"/>
          </w:tcPr>
          <w:p>
            <w:pPr>
              <w:keepNext/>
              <w:spacing w:after="20"/>
            </w:pPr>
            <w:r/>
            <w:r>
              <w:rPr>
                <w:sz w:val="17"/>
              </w:rPr>
              <w:t>Bicycle route identifiers; dedicated on-road bicycle lanes</w:t>
            </w:r>
          </w:p>
        </w:tc>
        <w:tc>
          <w:tcPr>
            <w:tcW w:type="dxa" w:w="2514"/>
            <w:shd w:val="clear" w:color="auto" w:fill="F7F7F7"/>
          </w:tcPr>
          <w:p>
            <w:pPr>
              <w:keepNext/>
              <w:spacing w:after="20"/>
            </w:pPr>
            <w:r/>
            <w:r>
              <w:rPr>
                <w:sz w:val="17"/>
              </w:rPr>
              <w:t>Various</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No</w:t>
            </w:r>
          </w:p>
        </w:tc>
      </w:tr>
      <w:tr>
        <w:trPr>
          <w:cantSplit/>
        </w:trPr>
        <w:tc>
          <w:tcPr>
            <w:tcW w:type="dxa" w:w="4190"/>
          </w:tcPr>
          <w:p>
            <w:pPr>
              <w:keepNext/>
              <w:spacing w:after="20"/>
            </w:pPr>
            <w:r/>
            <w:r>
              <w:rPr>
                <w:sz w:val="17"/>
              </w:rPr>
              <w:t>Optional: kerb and pram ramps (DDA checks)</w:t>
            </w:r>
          </w:p>
        </w:tc>
        <w:tc>
          <w:tcPr>
            <w:tcW w:type="dxa" w:w="2514"/>
          </w:tcPr>
          <w:p>
            <w:pPr>
              <w:keepNext/>
              <w:spacing w:after="20"/>
            </w:pPr>
            <w:r/>
            <w:r>
              <w:rPr>
                <w:sz w:val="17"/>
              </w:rPr>
              <w:t>8,000+</w:t>
            </w:r>
          </w:p>
        </w:tc>
        <w:tc>
          <w:tcPr>
            <w:tcW w:type="dxa" w:w="1844"/>
          </w:tcPr>
          <w:p>
            <w:pPr>
              <w:keepNext/>
              <w:spacing w:after="20"/>
            </w:pPr>
            <w:r/>
            <w:r>
              <w:rPr>
                <w:sz w:val="17"/>
              </w:rPr>
              <w:t>Overall</w:t>
            </w:r>
          </w:p>
        </w:tc>
        <w:tc>
          <w:tcPr>
            <w:tcW w:type="dxa" w:w="1089"/>
          </w:tcPr>
          <w:p>
            <w:pPr>
              <w:keepNext/>
              <w:spacing w:after="20"/>
            </w:pPr>
            <w:r/>
            <w:r>
              <w:rPr>
                <w:sz w:val="17"/>
              </w:rPr>
              <w:t>No</w:t>
            </w:r>
          </w:p>
        </w:tc>
      </w:tr>
      <w:tr>
        <w:trPr>
          <w:cantSplit/>
        </w:trPr>
        <w:tc>
          <w:tcPr>
            <w:tcW w:type="dxa" w:w="4190"/>
            <w:shd w:val="clear" w:color="auto" w:fill="F7F7F7"/>
          </w:tcPr>
          <w:p>
            <w:pPr>
              <w:keepNext/>
              <w:spacing w:after="20"/>
            </w:pPr>
            <w:r/>
            <w:r>
              <w:rPr>
                <w:sz w:val="17"/>
              </w:rPr>
              <w:t>Optional: tree pits and verge gardens</w:t>
            </w:r>
          </w:p>
        </w:tc>
        <w:tc>
          <w:tcPr>
            <w:tcW w:type="dxa" w:w="2514"/>
            <w:shd w:val="clear" w:color="auto" w:fill="F7F7F7"/>
          </w:tcPr>
          <w:p>
            <w:pPr>
              <w:keepNext/>
              <w:spacing w:after="20"/>
            </w:pPr>
            <w:r/>
            <w:r>
              <w:rPr>
                <w:sz w:val="17"/>
              </w:rPr>
              <w:t>15,350+</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No</w:t>
            </w:r>
          </w:p>
        </w:tc>
      </w:tr>
      <w:tr>
        <w:trPr>
          <w:cantSplit/>
        </w:trPr>
        <w:tc>
          <w:tcPr>
            <w:tcW w:type="dxa" w:w="4190"/>
          </w:tcPr>
          <w:p>
            <w:pPr>
              <w:keepNext/>
              <w:spacing w:after="20"/>
            </w:pPr>
            <w:r/>
            <w:r>
              <w:rPr>
                <w:sz w:val="17"/>
              </w:rPr>
              <w:t>Optional: vehicle crossings</w:t>
            </w:r>
          </w:p>
        </w:tc>
        <w:tc>
          <w:tcPr>
            <w:tcW w:type="dxa" w:w="2514"/>
          </w:tcPr>
          <w:p>
            <w:pPr>
              <w:keepNext/>
              <w:spacing w:after="20"/>
            </w:pPr>
            <w:r/>
            <w:r>
              <w:rPr>
                <w:sz w:val="17"/>
              </w:rPr>
              <w:t>34,300+</w:t>
            </w:r>
          </w:p>
        </w:tc>
        <w:tc>
          <w:tcPr>
            <w:tcW w:type="dxa" w:w="1844"/>
          </w:tcPr>
          <w:p>
            <w:pPr>
              <w:keepNext/>
              <w:spacing w:after="20"/>
            </w:pPr>
            <w:r/>
            <w:r>
              <w:rPr>
                <w:sz w:val="17"/>
              </w:rPr>
              <w:t>Overall</w:t>
            </w:r>
          </w:p>
        </w:tc>
        <w:tc>
          <w:tcPr>
            <w:tcW w:type="dxa" w:w="1089"/>
          </w:tcPr>
          <w:p>
            <w:pPr>
              <w:keepNext/>
              <w:spacing w:after="20"/>
            </w:pPr>
            <w:r/>
            <w:r>
              <w:rPr>
                <w:sz w:val="17"/>
              </w:rPr>
              <w:t>No</w:t>
            </w:r>
          </w:p>
        </w:tc>
      </w:tr>
      <w:tr>
        <w:trPr>
          <w:cantSplit/>
        </w:trPr>
        <w:tc>
          <w:tcPr>
            <w:tcW w:type="dxa" w:w="4190"/>
            <w:shd w:val="clear" w:color="auto" w:fill="F7F7F7"/>
          </w:tcPr>
          <w:p>
            <w:pPr>
              <w:keepNext/>
              <w:spacing w:after="20"/>
            </w:pPr>
            <w:r/>
            <w:r>
              <w:rPr>
                <w:sz w:val="17"/>
              </w:rPr>
              <w:t>Optional: road and footpath markings</w:t>
            </w:r>
          </w:p>
        </w:tc>
        <w:tc>
          <w:tcPr>
            <w:tcW w:type="dxa" w:w="2514"/>
            <w:shd w:val="clear" w:color="auto" w:fill="F7F7F7"/>
          </w:tcPr>
          <w:p>
            <w:pPr>
              <w:keepNext/>
              <w:spacing w:after="20"/>
            </w:pPr>
            <w:r/>
            <w:r>
              <w:rPr>
                <w:sz w:val="17"/>
              </w:rPr>
              <w:t>Network-wide</w:t>
            </w:r>
          </w:p>
        </w:tc>
        <w:tc>
          <w:tcPr>
            <w:tcW w:type="dxa" w:w="1844"/>
            <w:shd w:val="clear" w:color="auto" w:fill="F7F7F7"/>
          </w:tcPr>
          <w:p>
            <w:pPr>
              <w:keepNext/>
              <w:spacing w:after="20"/>
            </w:pPr>
            <w:r/>
            <w:r>
              <w:rPr>
                <w:sz w:val="17"/>
              </w:rPr>
              <w:t>Overall</w:t>
            </w:r>
          </w:p>
        </w:tc>
        <w:tc>
          <w:tcPr>
            <w:tcW w:type="dxa" w:w="1089"/>
            <w:shd w:val="clear" w:color="auto" w:fill="F7F7F7"/>
          </w:tcPr>
          <w:p>
            <w:pPr>
              <w:keepNext/>
              <w:spacing w:after="20"/>
            </w:pPr>
            <w:r/>
            <w:r>
              <w:rPr>
                <w:sz w:val="17"/>
              </w:rPr>
              <w:t>No</w:t>
            </w:r>
          </w:p>
        </w:tc>
      </w:tr>
      <w:tr>
        <w:trPr>
          <w:cantSplit/>
        </w:trPr>
        <w:tc>
          <w:tcPr>
            <w:tcW w:type="dxa" w:w="4190"/>
          </w:tcPr>
          <w:p>
            <w:pPr>
              <w:spacing w:after="20"/>
            </w:pPr>
            <w:r/>
            <w:r>
              <w:rPr>
                <w:sz w:val="17"/>
              </w:rPr>
              <w:t>Optional: retaining walls (from street and footpath)</w:t>
            </w:r>
          </w:p>
        </w:tc>
        <w:tc>
          <w:tcPr>
            <w:tcW w:type="dxa" w:w="2514"/>
          </w:tcPr>
          <w:p>
            <w:pPr>
              <w:spacing w:after="20"/>
            </w:pPr>
            <w:r/>
            <w:r>
              <w:rPr>
                <w:sz w:val="17"/>
              </w:rPr>
              <w:t>Unknown</w:t>
            </w:r>
          </w:p>
        </w:tc>
        <w:tc>
          <w:tcPr>
            <w:tcW w:type="dxa" w:w="1844"/>
          </w:tcPr>
          <w:p>
            <w:pPr>
              <w:spacing w:after="20"/>
            </w:pPr>
            <w:r/>
            <w:r>
              <w:rPr>
                <w:sz w:val="17"/>
              </w:rPr>
              <w:t>Overall</w:t>
            </w:r>
          </w:p>
        </w:tc>
        <w:tc>
          <w:tcPr>
            <w:tcW w:type="dxa" w:w="1089"/>
          </w:tcPr>
          <w:p>
            <w:pPr>
              <w:spacing w:after="20"/>
            </w:pPr>
            <w:r/>
            <w:r>
              <w:rPr>
                <w:sz w:val="17"/>
              </w:rPr>
              <w:t>If selected</w:t>
            </w:r>
          </w:p>
        </w:tc>
      </w:tr>
    </w:tbl>
    <w:p>
      <w:pPr>
        <w:spacing w:after="40"/>
      </w:pPr>
    </w:p>
    <w:p>
      <w:pPr>
        <w:pStyle w:val="Heading1"/>
        <w:pBdr>
          <w:bottom w:val="single" w:sz="6" w:space="1" w:color="C9A227"/>
        </w:pBdr>
      </w:pPr>
      <w:r>
        <w:t>2.0   Scope of services requested</w:t>
      </w:r>
    </w:p>
    <w:p>
      <w:r>
        <w:rPr>
          <w:i w:val="0"/>
        </w:rPr>
        <w:t>Council requires a comprehensive revaluation of the classes marked "Yes" in the Scope table: roads, footpaths, kerb and gutter, traffic devices, street furniture and other road assets, artwork, car park surfaces, car park assets and white way lighting (and retaining walls if Council selects that option). It must comply with AASB 13 Fair Value Measurement, AASB 116 Property, Plant and Equipment, AASB 136 Impairment of Assets and AASB 2022-10, and follow the IPWEA guidance notes on asset valuation for financial reporting. Values recalculated from Rawlinsons, internal data or other sources must be verified, and all working papers provided with the draft and final revaluation reports by 31/03/2027. JCE supplies the audit data (inventory, dimensions, interval and overall condition) for every asset.</w:t>
      </w:r>
    </w:p>
    <w:p>
      <w:pPr>
        <w:pStyle w:val="Heading2"/>
      </w:pPr>
      <w:r>
        <w:t>Option 1: review and sign-off</w:t>
      </w:r>
    </w:p>
    <w:p>
      <w:pPr>
        <w:pStyle w:val="ListBullet"/>
        <w:spacing w:after="40"/>
      </w:pPr>
      <w:r>
        <w:t>Agree the revaluation methodology, componentisation, valuation units, valuation date and fair value hierarchy with JCE and Council's finance team (methodology report by 22/01/2027).</w:t>
      </w:r>
    </w:p>
    <w:p>
      <w:pPr>
        <w:pStyle w:val="ListBullet"/>
        <w:spacing w:after="40"/>
      </w:pPr>
      <w:r>
        <w:t>Review JCE's unit rates, useful lives, residual values, condition to remaining life relationships and calculations, and sign the revaluation report as the qualified valuer.</w:t>
      </w:r>
    </w:p>
    <w:p>
      <w:pPr>
        <w:pStyle w:val="Heading2"/>
      </w:pPr>
      <w:r>
        <w:t>Option 2: full revaluation</w:t>
      </w:r>
    </w:p>
    <w:p>
      <w:pPr>
        <w:pStyle w:val="ListBullet"/>
        <w:spacing w:after="40"/>
      </w:pPr>
      <w:r>
        <w:t>As for Option 1, but you prepare the unit rates, calculations and reports from JCE's audit data, with JCE's engineering input on rates and condition.</w:t>
      </w:r>
    </w:p>
    <w:p>
      <w:pPr>
        <w:pStyle w:val="Heading2"/>
      </w:pPr>
      <w:r>
        <w:t>Both options</w:t>
      </w:r>
    </w:p>
    <w:p>
      <w:pPr>
        <w:pStyle w:val="ListBullet"/>
        <w:spacing w:after="40"/>
      </w:pPr>
      <w:r>
        <w:t>Advice on valuing artwork (paintings, mosaics, sculptures, murals, plaques): replacement cost or a specialist art valuation, with any specialist fee stated.</w:t>
      </w:r>
    </w:p>
    <w:p>
      <w:pPr>
        <w:pStyle w:val="ListBullet"/>
        <w:spacing w:after="40"/>
      </w:pPr>
      <w:r>
        <w:t>Responses to Council and Audit Office of NSW queries after March 2027, at hourly rates (allow ten (10) hours).</w:t>
      </w:r>
    </w:p>
    <w:p>
      <w:pPr>
        <w:pStyle w:val="Heading2"/>
      </w:pPr>
      <w:r>
        <w:t>Deliverables</w:t>
      </w:r>
    </w:p>
    <w:p>
      <w:pPr>
        <w:pStyle w:val="ListBullet"/>
        <w:spacing w:after="40"/>
      </w:pPr>
      <w:r>
        <w:t>Revaluation methodology report (PDF).</w:t>
      </w:r>
    </w:p>
    <w:p>
      <w:pPr>
        <w:pStyle w:val="ListBullet"/>
        <w:spacing w:after="40"/>
      </w:pPr>
      <w:r>
        <w:t>Draft and final revaluation reports (PDF), signed by your qualified valuer, with fair value hierarchy and financial statement note inputs.</w:t>
      </w:r>
    </w:p>
    <w:p>
      <w:pPr>
        <w:pStyle w:val="ListBullet"/>
        <w:spacing w:after="40"/>
      </w:pPr>
      <w:r>
        <w:t>Revaluation calculations and working papers (XLSX), keyed to Council's Asset_IDs.</w:t>
      </w:r>
    </w:p>
    <w:p>
      <w:pPr>
        <w:pStyle w:val="Heading1"/>
        <w:pBdr>
          <w:bottom w:val="single" w:sz="6" w:space="1" w:color="C9A227"/>
        </w:pBdr>
      </w:pPr>
      <w:r>
        <w:t>3.0   Key dates and program</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RFQ issued</w:t>
            </w:r>
          </w:p>
        </w:tc>
        <w:tc>
          <w:tcPr>
            <w:tcW w:type="dxa" w:w="3855"/>
          </w:tcPr>
          <w:p>
            <w:pPr>
              <w:keepNext/>
              <w:spacing w:after="20"/>
            </w:pPr>
            <w:r/>
            <w:r>
              <w:rPr>
                <w:sz w:val="17"/>
              </w:rPr>
              <w:t>12/10/2026</w:t>
            </w:r>
          </w:p>
        </w:tc>
      </w:tr>
      <w:tr>
        <w:trPr>
          <w:cantSplit/>
        </w:trPr>
        <w:tc>
          <w:tcPr>
            <w:tcW w:type="dxa" w:w="5783"/>
            <w:shd w:val="clear" w:color="auto" w:fill="F7F7F7"/>
          </w:tcPr>
          <w:p>
            <w:pPr>
              <w:keepNext/>
              <w:spacing w:after="20"/>
            </w:pPr>
            <w:r/>
            <w:r>
              <w:rPr>
                <w:sz w:val="17"/>
              </w:rPr>
              <w:t>Please confirm you intend to quote</w:t>
            </w:r>
          </w:p>
        </w:tc>
        <w:tc>
          <w:tcPr>
            <w:tcW w:type="dxa" w:w="3855"/>
            <w:shd w:val="clear" w:color="auto" w:fill="F7F7F7"/>
          </w:tcPr>
          <w:p>
            <w:pPr>
              <w:keepNext/>
              <w:spacing w:after="20"/>
            </w:pPr>
            <w:r/>
            <w:r>
              <w:rPr>
                <w:sz w:val="17"/>
              </w:rPr>
              <w:t>Wednesday 14/10/2026</w:t>
            </w:r>
          </w:p>
        </w:tc>
      </w:tr>
      <w:tr>
        <w:trPr>
          <w:cantSplit/>
        </w:trPr>
        <w:tc>
          <w:tcPr>
            <w:tcW w:type="dxa" w:w="5783"/>
          </w:tcPr>
          <w:p>
            <w:pPr>
              <w:keepNext/>
              <w:spacing w:after="20"/>
            </w:pPr>
            <w:r/>
            <w:r>
              <w:rPr>
                <w:sz w:val="17"/>
              </w:rPr>
              <w:t>Questions to JCE (so JCE can lodge them on Council's forum by 21/10/2026)</w:t>
            </w:r>
          </w:p>
        </w:tc>
        <w:tc>
          <w:tcPr>
            <w:tcW w:type="dxa" w:w="3855"/>
          </w:tcPr>
          <w:p>
            <w:pPr>
              <w:keepNext/>
              <w:spacing w:after="20"/>
            </w:pPr>
            <w:r/>
            <w:r>
              <w:rPr>
                <w:sz w:val="17"/>
              </w:rPr>
              <w:t>12:00 pm, Friday 16/10/2026</w:t>
            </w:r>
          </w:p>
        </w:tc>
      </w:tr>
      <w:tr>
        <w:trPr>
          <w:cantSplit/>
        </w:trPr>
        <w:tc>
          <w:tcPr>
            <w:tcW w:type="dxa" w:w="5783"/>
            <w:shd w:val="clear" w:color="auto" w:fill="F7F7F7"/>
          </w:tcPr>
          <w:p>
            <w:pPr>
              <w:keepNext/>
              <w:spacing w:after="20"/>
            </w:pPr>
            <w:r/>
            <w:r>
              <w:rPr>
                <w:sz w:val="17"/>
              </w:rPr>
              <w:t>Quote due to JCE</w:t>
            </w:r>
          </w:p>
        </w:tc>
        <w:tc>
          <w:tcPr>
            <w:tcW w:type="dxa" w:w="3855"/>
            <w:shd w:val="clear" w:color="auto" w:fill="F7F7F7"/>
          </w:tcPr>
          <w:p>
            <w:pPr>
              <w:keepNext/>
              <w:spacing w:after="20"/>
            </w:pPr>
            <w:r/>
            <w:r>
              <w:rPr>
                <w:sz w:val="17"/>
              </w:rPr>
              <w:t>12:00 pm, Wednesday 21/10/2026</w:t>
            </w:r>
          </w:p>
        </w:tc>
      </w:tr>
      <w:tr>
        <w:trPr>
          <w:cantSplit/>
        </w:trPr>
        <w:tc>
          <w:tcPr>
            <w:tcW w:type="dxa" w:w="5783"/>
          </w:tcPr>
          <w:p>
            <w:pPr>
              <w:keepNext/>
              <w:spacing w:after="20"/>
            </w:pPr>
            <w:r/>
            <w:r>
              <w:rPr>
                <w:sz w:val="17"/>
              </w:rPr>
              <w:t>Tender closes (VendorPanel)</w:t>
            </w:r>
          </w:p>
        </w:tc>
        <w:tc>
          <w:tcPr>
            <w:tcW w:type="dxa" w:w="3855"/>
          </w:tcPr>
          <w:p>
            <w:pPr>
              <w:keepNext/>
              <w:spacing w:after="20"/>
            </w:pPr>
            <w:r/>
            <w:r>
              <w:rPr>
                <w:sz w:val="17"/>
              </w:rPr>
              <w:t>2:00 pm, Wednesday 28/10/2026</w:t>
            </w:r>
          </w:p>
        </w:tc>
      </w:tr>
      <w:tr>
        <w:trPr>
          <w:cantSplit/>
        </w:trPr>
        <w:tc>
          <w:tcPr>
            <w:tcW w:type="dxa" w:w="5783"/>
            <w:shd w:val="clear" w:color="auto" w:fill="F7F7F7"/>
          </w:tcPr>
          <w:p>
            <w:pPr>
              <w:keepNext/>
              <w:spacing w:after="20"/>
            </w:pPr>
            <w:r/>
            <w:r>
              <w:rPr>
                <w:sz w:val="17"/>
              </w:rPr>
              <w:t>Award (anticipated by Council)</w:t>
            </w:r>
          </w:p>
        </w:tc>
        <w:tc>
          <w:tcPr>
            <w:tcW w:type="dxa" w:w="3855"/>
            <w:shd w:val="clear" w:color="auto" w:fill="F7F7F7"/>
          </w:tcPr>
          <w:p>
            <w:pPr>
              <w:keepNext/>
              <w:spacing w:after="20"/>
            </w:pPr>
            <w:r/>
            <w:r>
              <w:rPr>
                <w:sz w:val="17"/>
              </w:rPr>
              <w:t>November 2026 (program assumes 30/11/2026)</w:t>
            </w:r>
          </w:p>
        </w:tc>
      </w:tr>
      <w:tr>
        <w:trPr>
          <w:cantSplit/>
        </w:trPr>
        <w:tc>
          <w:tcPr>
            <w:tcW w:type="dxa" w:w="5783"/>
          </w:tcPr>
          <w:p>
            <w:pPr>
              <w:spacing w:after="20"/>
            </w:pPr>
            <w:r/>
            <w:r>
              <w:rPr>
                <w:sz w:val="17"/>
              </w:rPr>
              <w:t>Prices held until (90 days after tender close)</w:t>
            </w:r>
          </w:p>
        </w:tc>
        <w:tc>
          <w:tcPr>
            <w:tcW w:type="dxa" w:w="3855"/>
          </w:tcPr>
          <w:p>
            <w:pPr>
              <w:spacing w:after="20"/>
            </w:pPr>
            <w:r/>
            <w:r>
              <w:rPr>
                <w:sz w:val="17"/>
              </w:rPr>
              <w:t>26/01/2027</w:t>
            </w:r>
          </w:p>
        </w:tc>
      </w:tr>
    </w:tbl>
    <w:p>
      <w:pPr>
        <w:spacing w:after="40"/>
      </w:pPr>
    </w:p>
    <w:p>
      <w:r>
        <w:rPr>
          <w:i w:val="0"/>
        </w:rPr>
        <w:t>Program to meet Council's 31/03/2027 deadline, assuming award by 30/11/2026:</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cantSplit/>
        </w:trPr>
        <w:tc>
          <w:tcPr>
            <w:tcW w:type="dxa" w:w="5783"/>
            <w:shd w:val="clear" w:color="auto" w:fill="000000"/>
          </w:tcPr>
          <w:p>
            <w:pPr>
              <w:keepNext/>
            </w:pPr>
            <w:r/>
            <w:r>
              <w:rPr>
                <w:b/>
                <w:color w:val="FFFFFF"/>
                <w:sz w:val="17"/>
              </w:rPr>
              <w:t>Milestone</w:t>
            </w:r>
          </w:p>
        </w:tc>
        <w:tc>
          <w:tcPr>
            <w:tcW w:type="dxa" w:w="3855"/>
            <w:shd w:val="clear" w:color="auto" w:fill="000000"/>
          </w:tcPr>
          <w:p>
            <w:pPr>
              <w:keepNext/>
            </w:pPr>
            <w:r/>
            <w:r>
              <w:rPr>
                <w:b/>
                <w:color w:val="FFFFFF"/>
                <w:sz w:val="17"/>
              </w:rPr>
              <w:t>Date</w:t>
            </w:r>
          </w:p>
        </w:tc>
      </w:tr>
      <w:tr>
        <w:trPr>
          <w:cantSplit/>
        </w:trPr>
        <w:tc>
          <w:tcPr>
            <w:tcW w:type="dxa" w:w="5783"/>
          </w:tcPr>
          <w:p>
            <w:pPr>
              <w:keepNext/>
              <w:spacing w:after="20"/>
            </w:pPr>
            <w:r/>
            <w:r>
              <w:rPr>
                <w:sz w:val="17"/>
              </w:rPr>
              <w:t>Revaluation methodology report</w:t>
            </w:r>
          </w:p>
        </w:tc>
        <w:tc>
          <w:tcPr>
            <w:tcW w:type="dxa" w:w="3855"/>
          </w:tcPr>
          <w:p>
            <w:pPr>
              <w:keepNext/>
              <w:spacing w:after="20"/>
            </w:pPr>
            <w:r/>
            <w:r>
              <w:rPr>
                <w:sz w:val="17"/>
              </w:rPr>
              <w:t>Friday 22/01/2027</w:t>
            </w:r>
          </w:p>
        </w:tc>
      </w:tr>
      <w:tr>
        <w:trPr>
          <w:cantSplit/>
        </w:trPr>
        <w:tc>
          <w:tcPr>
            <w:tcW w:type="dxa" w:w="5783"/>
            <w:shd w:val="clear" w:color="auto" w:fill="F7F7F7"/>
          </w:tcPr>
          <w:p>
            <w:pPr>
              <w:keepNext/>
              <w:spacing w:after="20"/>
            </w:pPr>
            <w:r/>
            <w:r>
              <w:rPr>
                <w:sz w:val="17"/>
              </w:rPr>
              <w:t>Unit rates, useful lives and remaining life relationships</w:t>
            </w:r>
          </w:p>
        </w:tc>
        <w:tc>
          <w:tcPr>
            <w:tcW w:type="dxa" w:w="3855"/>
            <w:shd w:val="clear" w:color="auto" w:fill="F7F7F7"/>
          </w:tcPr>
          <w:p>
            <w:pPr>
              <w:keepNext/>
              <w:spacing w:after="20"/>
            </w:pPr>
            <w:r/>
            <w:r>
              <w:rPr>
                <w:sz w:val="17"/>
              </w:rPr>
              <w:t>Friday 19/02/2027</w:t>
            </w:r>
          </w:p>
        </w:tc>
      </w:tr>
      <w:tr>
        <w:trPr>
          <w:cantSplit/>
        </w:trPr>
        <w:tc>
          <w:tcPr>
            <w:tcW w:type="dxa" w:w="5783"/>
          </w:tcPr>
          <w:p>
            <w:pPr>
              <w:keepNext/>
              <w:spacing w:after="20"/>
            </w:pPr>
            <w:r/>
            <w:r>
              <w:rPr>
                <w:sz w:val="17"/>
              </w:rPr>
              <w:t>Audit data complete from JCE</w:t>
            </w:r>
          </w:p>
        </w:tc>
        <w:tc>
          <w:tcPr>
            <w:tcW w:type="dxa" w:w="3855"/>
          </w:tcPr>
          <w:p>
            <w:pPr>
              <w:keepNext/>
              <w:spacing w:after="20"/>
            </w:pPr>
            <w:r/>
            <w:r>
              <w:rPr>
                <w:sz w:val="17"/>
              </w:rPr>
              <w:t>Friday 12/03/2027</w:t>
            </w:r>
          </w:p>
        </w:tc>
      </w:tr>
      <w:tr>
        <w:trPr>
          <w:cantSplit/>
        </w:trPr>
        <w:tc>
          <w:tcPr>
            <w:tcW w:type="dxa" w:w="5783"/>
            <w:shd w:val="clear" w:color="auto" w:fill="F7F7F7"/>
          </w:tcPr>
          <w:p>
            <w:pPr>
              <w:keepNext/>
              <w:spacing w:after="20"/>
            </w:pPr>
            <w:r/>
            <w:r>
              <w:rPr>
                <w:sz w:val="17"/>
              </w:rPr>
              <w:t>Draft revaluation report and calculations</w:t>
            </w:r>
          </w:p>
        </w:tc>
        <w:tc>
          <w:tcPr>
            <w:tcW w:type="dxa" w:w="3855"/>
            <w:shd w:val="clear" w:color="auto" w:fill="F7F7F7"/>
          </w:tcPr>
          <w:p>
            <w:pPr>
              <w:keepNext/>
              <w:spacing w:after="20"/>
            </w:pPr>
            <w:r/>
            <w:r>
              <w:rPr>
                <w:sz w:val="17"/>
              </w:rPr>
              <w:t>Friday 19/03/2027</w:t>
            </w:r>
          </w:p>
        </w:tc>
      </w:tr>
      <w:tr>
        <w:trPr>
          <w:cantSplit/>
        </w:trPr>
        <w:tc>
          <w:tcPr>
            <w:tcW w:type="dxa" w:w="5783"/>
          </w:tcPr>
          <w:p>
            <w:pPr>
              <w:spacing w:after="20"/>
            </w:pPr>
            <w:r/>
            <w:r>
              <w:rPr>
                <w:sz w:val="17"/>
              </w:rPr>
              <w:t>Final revaluation report</w:t>
            </w:r>
          </w:p>
        </w:tc>
        <w:tc>
          <w:tcPr>
            <w:tcW w:type="dxa" w:w="3855"/>
          </w:tcPr>
          <w:p>
            <w:pPr>
              <w:spacing w:after="20"/>
            </w:pPr>
            <w:r/>
            <w:r>
              <w:rPr>
                <w:sz w:val="17"/>
              </w:rPr>
              <w:t>Wednesday 31/03/2027</w:t>
            </w:r>
          </w:p>
        </w:tc>
      </w:tr>
    </w:tbl>
    <w:p>
      <w:pPr>
        <w:spacing w:after="40"/>
      </w:pPr>
    </w:p>
    <w:p>
      <w:r>
        <w:rPr>
          <w:i w:val="0"/>
        </w:rPr>
        <w:t>Please confirm you can meet this program and name the valuer who will sign.</w:t>
      </w:r>
    </w:p>
    <w:p>
      <w:pPr>
        <w:pStyle w:val="Heading1"/>
        <w:pBdr>
          <w:bottom w:val="single" w:sz="6" w:space="1" w:color="C9A227"/>
        </w:pBdr>
      </w:pPr>
      <w:r>
        <w:t>4.0   Information provided</w:t>
      </w:r>
    </w:p>
    <w:p>
      <w:pPr>
        <w:pStyle w:val="ListBullet"/>
        <w:spacing w:after="40"/>
      </w:pPr>
      <w:r>
        <w:t>This RFQ, with Council's Scope table reproduced above.</w:t>
      </w:r>
    </w:p>
    <w:p>
      <w:pPr>
        <w:pStyle w:val="ListBullet"/>
        <w:spacing w:after="40"/>
      </w:pPr>
      <w:r>
        <w:t>Council's Contractor Brief (Scope_Spec, 14 pages), Scope table (.xlsx) and draft Consultancy Agreement, attached for preparing your quotation only.</w:t>
      </w:r>
    </w:p>
    <w:p>
      <w:pPr>
        <w:pStyle w:val="ListBullet"/>
        <w:spacing w:after="40"/>
      </w:pPr>
      <w:r>
        <w:t>No addenda have been issued as at 12/10/2026. JCE will forward any addenda Council issues before 21/10/2026.</w:t>
      </w:r>
    </w:p>
    <w:p>
      <w:pPr>
        <w:pStyle w:val="Heading1"/>
        <w:pBdr>
          <w:bottom w:val="single" w:sz="6" w:space="1" w:color="C9A227"/>
        </w:pBdr>
      </w:pPr>
      <w:r>
        <w:t>5.0   Insurances</w:t>
      </w:r>
    </w:p>
    <w:p>
      <w:pPr>
        <w:pStyle w:val="ListBullet"/>
        <w:spacing w:after="40"/>
      </w:pPr>
      <w:r>
        <w:rPr>
          <w:b/>
        </w:rPr>
        <w:t xml:space="preserve">Public liability: </w:t>
      </w:r>
      <w:r>
        <w:t>$20 million per occurrence (Council's level, Schedule 1 of the RFT and the Consultancy Agreement).</w:t>
      </w:r>
    </w:p>
    <w:p>
      <w:pPr>
        <w:pStyle w:val="ListBullet"/>
        <w:spacing w:after="40"/>
      </w:pPr>
      <w:r>
        <w:rPr>
          <w:b/>
        </w:rPr>
        <w:t xml:space="preserve">Professional indemnity: </w:t>
      </w:r>
      <w:r>
        <w:t>$10 million per claim and in the aggregate, maintained for seven (7) years after completion of the Services (clause 12.4).</w:t>
      </w:r>
    </w:p>
    <w:p>
      <w:pPr>
        <w:pStyle w:val="ListBullet"/>
        <w:spacing w:after="40"/>
      </w:pPr>
      <w:r>
        <w:rPr>
          <w:b/>
        </w:rPr>
        <w:t xml:space="preserve">Workers compensation: </w:t>
      </w:r>
      <w:r>
        <w:t>as required by law, with a current certificate of currency.</w:t>
      </w:r>
    </w:p>
    <w:p>
      <w:pPr>
        <w:pStyle w:val="ListBullet"/>
        <w:spacing w:after="40"/>
      </w:pPr>
      <w:r>
        <w:rPr>
          <w:b/>
        </w:rPr>
        <w:t xml:space="preserve">Motor vehicle: </w:t>
      </w:r>
      <w:r>
        <w:t>comprehensive or third-party property cover for every vehicle used on the project (JCE requirement).</w:t>
      </w:r>
    </w:p>
    <w:p>
      <w:pPr>
        <w:pStyle w:val="ListBullet"/>
        <w:spacing w:after="40"/>
      </w:pPr>
      <w:r>
        <w:rPr>
          <w:b/>
        </w:rPr>
        <w:t xml:space="preserve">Certificates: </w:t>
      </w:r>
      <w:r>
        <w:t>please attach certificates of currency for each policy. Council lists each key subcontractor's insurances in Returnable 13. If any cover is below these levels, state your current level and whether you will lift it on award.</w:t>
      </w:r>
    </w:p>
    <w:p>
      <w:pPr>
        <w:pStyle w:val="Heading1"/>
        <w:pBdr>
          <w:bottom w:val="single" w:sz="6" w:space="1" w:color="C9A227"/>
        </w:pBdr>
      </w:pPr>
      <w:r>
        <w:t>6.0   Requirements</w:t>
      </w:r>
    </w:p>
    <w:p>
      <w:pPr>
        <w:pStyle w:val="ListBullet"/>
        <w:spacing w:after="40"/>
      </w:pPr>
      <w:r>
        <w:rPr>
          <w:b/>
        </w:rPr>
        <w:t xml:space="preserve">Qualifications. </w:t>
      </w:r>
      <w:r>
        <w:t>The revaluation report must be signed by a qualified valuer with local government infrastructure valuation experience (for example an API Certified Practising Valuer, FAPI or MRICS). Please name the valuer and attach a CV listing NSW council infrastructure valuations.</w:t>
      </w:r>
    </w:p>
    <w:p>
      <w:pPr>
        <w:pStyle w:val="ListBullet"/>
        <w:spacing w:after="40"/>
      </w:pPr>
      <w:r>
        <w:rPr>
          <w:b/>
        </w:rPr>
        <w:t xml:space="preserve">Approved subcontractor. </w:t>
      </w:r>
      <w:r>
        <w:t>Council allows subcontracting only to the Approved Subcontractors named in the tender (clause 4). JCE will name your firm and key staff in Returnables 12 and 13 if you agree.</w:t>
      </w:r>
    </w:p>
    <w:p>
      <w:pPr>
        <w:pStyle w:val="ListBullet"/>
        <w:spacing w:after="40"/>
      </w:pPr>
      <w:r>
        <w:rPr>
          <w:b/>
        </w:rPr>
        <w:t xml:space="preserve">Contract terms to flow down. </w:t>
      </w:r>
      <w:r>
        <w:t>Part 4 of the Civil Liability Act 2002 (NSW) (proportionate liability) does not apply (clause 12.7); liability is capped at the greater of the fee and the amounts recoverable under the required insurances (clause 11.3 and Schedule 1); Council owns the Materials, and you keep your working papers and pre-existing IP (clause 13); termination for convenience on 20 business days (clause 14.1). Please note any terms you cannot accept.</w:t>
      </w:r>
    </w:p>
    <w:p>
      <w:pPr>
        <w:pStyle w:val="ListBullet"/>
        <w:spacing w:after="40"/>
      </w:pPr>
      <w:r>
        <w:rPr>
          <w:b/>
        </w:rPr>
        <w:t xml:space="preserve">Work health and safety. </w:t>
      </w:r>
      <w:r>
        <w:t>A documented WHS system, Safe Work Method Statements for the work (including work near traffic, with traffic guidance schemes by accredited controllers where needed), induction of all staff, incident reporting to JCE within 24 hours, and compliance with JCE's Subconsultant and Contractor WHS Management Procedure (JCE-WHS-PRO-009). Council's WHS Checklist asks for a traffic management plan example: please attach one.</w:t>
      </w:r>
    </w:p>
    <w:p>
      <w:pPr>
        <w:pStyle w:val="ListBullet"/>
        <w:spacing w:after="40"/>
      </w:pPr>
      <w:r>
        <w:rPr>
          <w:b/>
        </w:rPr>
        <w:t xml:space="preserve">Compliance registration. </w:t>
      </w:r>
      <w:r>
        <w:t>You may be required to register with Council's compliance provider, BNG Conserve, at your cost (clause 12.6).</w:t>
      </w:r>
    </w:p>
    <w:p>
      <w:pPr>
        <w:pStyle w:val="ListBullet"/>
        <w:spacing w:after="40"/>
      </w:pPr>
      <w:r>
        <w:rPr>
          <w:b/>
        </w:rPr>
        <w:t xml:space="preserve">Modern slavery. </w:t>
      </w:r>
      <w:r>
        <w:t>Please confirm that you have a modern slavery policy or will comply with JCE's Modern Slavery Policy (JCE-WHS-POL-003).</w:t>
      </w:r>
    </w:p>
    <w:p>
      <w:pPr>
        <w:pStyle w:val="ListBullet"/>
        <w:spacing w:after="40"/>
      </w:pPr>
      <w:r>
        <w:rPr>
          <w:b/>
        </w:rPr>
        <w:t xml:space="preserve">Experience for the tender. </w:t>
      </w:r>
      <w:r>
        <w:t>Council scores the qualifications and experience of key subcontractors and asks for at least three similar projects in the last five years with referees (Returnable 11). Please give two to three comparable council projects with the client, quantities, year, value, your role and a referee who has agreed to be contacted, plus a company profile and CVs of key staff.</w:t>
      </w:r>
    </w:p>
    <w:p>
      <w:pPr>
        <w:pStyle w:val="Heading1"/>
        <w:pBdr>
          <w:bottom w:val="single" w:sz="6" w:space="1" w:color="C9A227"/>
        </w:pBdr>
      </w:pPr>
      <w:r>
        <w:t>7.0   Pricing schedule</w:t>
      </w:r>
    </w:p>
    <w:p>
      <w:r>
        <w:rPr>
          <w:i w:val="0"/>
        </w:rPr>
        <w:t>Please price each item as a lump sum (excl. GST) and give the unit rate where shown, for adjusting optional quantities. JCE adds its own mark-up: do not include it. Quantities are Council's estimates; the lump sums must cover all assets found, as in Council's RFT.</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606"/>
        <w:gridCol w:w="1606"/>
        <w:gridCol w:w="1606"/>
        <w:gridCol w:w="1606"/>
        <w:gridCol w:w="1606"/>
        <w:gridCol w:w="1606"/>
      </w:tblGrid>
      <w:tr>
        <w:trPr>
          <w:tblHeader/>
          <w:cantSplit/>
        </w:trPr>
        <w:tc>
          <w:tcPr>
            <w:tcW w:type="dxa" w:w="688"/>
            <w:shd w:val="clear" w:color="auto" w:fill="000000"/>
          </w:tcPr>
          <w:p>
            <w:pPr>
              <w:keepNext/>
            </w:pPr>
            <w:r/>
            <w:r>
              <w:rPr>
                <w:b/>
                <w:color w:val="FFFFFF"/>
                <w:sz w:val="17"/>
              </w:rPr>
              <w:t>Item</w:t>
            </w:r>
          </w:p>
        </w:tc>
        <w:tc>
          <w:tcPr>
            <w:tcW w:type="dxa" w:w="4475"/>
            <w:shd w:val="clear" w:color="auto" w:fill="000000"/>
          </w:tcPr>
          <w:p>
            <w:pPr>
              <w:keepNext/>
            </w:pPr>
            <w:r/>
            <w:r>
              <w:rPr>
                <w:b/>
                <w:color w:val="FFFFFF"/>
                <w:sz w:val="17"/>
              </w:rPr>
              <w:t>Description</w:t>
            </w:r>
          </w:p>
        </w:tc>
        <w:tc>
          <w:tcPr>
            <w:tcW w:type="dxa" w:w="1033"/>
            <w:shd w:val="clear" w:color="auto" w:fill="000000"/>
          </w:tcPr>
          <w:p>
            <w:pPr>
              <w:keepNext/>
            </w:pPr>
            <w:r/>
            <w:r>
              <w:rPr>
                <w:b/>
                <w:color w:val="FFFFFF"/>
                <w:sz w:val="17"/>
              </w:rPr>
              <w:t>Unit</w:t>
            </w:r>
          </w:p>
        </w:tc>
        <w:tc>
          <w:tcPr>
            <w:tcW w:type="dxa" w:w="947"/>
            <w:shd w:val="clear" w:color="auto" w:fill="000000"/>
          </w:tcPr>
          <w:p>
            <w:pPr>
              <w:keepNext/>
            </w:pPr>
            <w:r/>
            <w:r>
              <w:rPr>
                <w:b/>
                <w:color w:val="FFFFFF"/>
                <w:sz w:val="17"/>
              </w:rPr>
              <w:t>Qty</w:t>
            </w:r>
          </w:p>
        </w:tc>
        <w:tc>
          <w:tcPr>
            <w:tcW w:type="dxa" w:w="1205"/>
            <w:shd w:val="clear" w:color="auto" w:fill="000000"/>
          </w:tcPr>
          <w:p>
            <w:pPr>
              <w:keepNext/>
            </w:pPr>
            <w:r/>
            <w:r>
              <w:rPr>
                <w:b/>
                <w:color w:val="FFFFFF"/>
                <w:sz w:val="17"/>
              </w:rPr>
              <w:t>Unit rate ($)</w:t>
            </w:r>
          </w:p>
        </w:tc>
        <w:tc>
          <w:tcPr>
            <w:tcW w:type="dxa" w:w="1291"/>
            <w:shd w:val="clear" w:color="auto" w:fill="000000"/>
          </w:tcPr>
          <w:p>
            <w:pPr>
              <w:keepNext/>
            </w:pPr>
            <w:r/>
            <w:r>
              <w:rPr>
                <w:b/>
                <w:color w:val="FFFFFF"/>
                <w:sz w:val="17"/>
              </w:rPr>
              <w:t>Lump sum ($)</w:t>
            </w:r>
          </w:p>
        </w:tc>
      </w:tr>
      <w:tr>
        <w:trPr>
          <w:cantSplit/>
        </w:trPr>
        <w:tc>
          <w:tcPr>
            <w:tcW w:type="dxa" w:w="688"/>
          </w:tcPr>
          <w:p>
            <w:pPr>
              <w:keepNext/>
              <w:spacing w:after="20"/>
            </w:pPr>
            <w:r/>
            <w:r>
              <w:rPr>
                <w:sz w:val="17"/>
              </w:rPr>
              <w:t>V1</w:t>
            </w:r>
          </w:p>
        </w:tc>
        <w:tc>
          <w:tcPr>
            <w:tcW w:type="dxa" w:w="4475"/>
          </w:tcPr>
          <w:p>
            <w:pPr>
              <w:keepNext/>
              <w:spacing w:after="20"/>
            </w:pPr>
            <w:r/>
            <w:r>
              <w:rPr>
                <w:sz w:val="17"/>
              </w:rPr>
              <w:t>Option 1: review and sign-off of the revaluation, signed report</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keepNext/>
              <w:spacing w:after="20"/>
            </w:pPr>
            <w:r/>
            <w:r>
              <w:rPr>
                <w:sz w:val="17"/>
              </w:rPr>
              <w:t>V2</w:t>
            </w:r>
          </w:p>
        </w:tc>
        <w:tc>
          <w:tcPr>
            <w:tcW w:type="dxa" w:w="4475"/>
            <w:shd w:val="clear" w:color="auto" w:fill="F7F7F7"/>
          </w:tcPr>
          <w:p>
            <w:pPr>
              <w:keepNext/>
              <w:spacing w:after="20"/>
            </w:pPr>
            <w:r/>
            <w:r>
              <w:rPr>
                <w:sz w:val="17"/>
              </w:rPr>
              <w:t>Option 2: full revaluation and reports (alternative to V1)</w:t>
            </w:r>
          </w:p>
        </w:tc>
        <w:tc>
          <w:tcPr>
            <w:tcW w:type="dxa" w:w="1033"/>
            <w:shd w:val="clear" w:color="auto" w:fill="F7F7F7"/>
          </w:tcPr>
          <w:p>
            <w:pPr>
              <w:keepNext/>
              <w:spacing w:after="20"/>
            </w:pPr>
            <w:r/>
            <w:r>
              <w:rPr>
                <w:sz w:val="17"/>
              </w:rPr>
              <w:t>lump</w:t>
            </w:r>
          </w:p>
        </w:tc>
        <w:tc>
          <w:tcPr>
            <w:tcW w:type="dxa" w:w="947"/>
            <w:shd w:val="clear" w:color="auto" w:fill="F7F7F7"/>
          </w:tcPr>
          <w:p>
            <w:pPr>
              <w:keepNext/>
              <w:spacing w:after="20"/>
            </w:pPr>
            <w:r/>
            <w:r>
              <w:rPr>
                <w:sz w:val="17"/>
              </w:rPr>
              <w:t>1</w:t>
            </w:r>
          </w:p>
        </w:tc>
        <w:tc>
          <w:tcPr>
            <w:tcW w:type="dxa" w:w="1205"/>
            <w:shd w:val="clear" w:color="auto" w:fill="F7F7F7"/>
          </w:tcPr>
          <w:p>
            <w:pPr>
              <w:keepNext/>
              <w:spacing w:after="20"/>
            </w:pPr>
            <w:r/>
            <w:r>
              <w:rPr>
                <w:sz w:val="17"/>
              </w:rPr>
              <w:t>n/a</w:t>
            </w:r>
          </w:p>
        </w:tc>
        <w:tc>
          <w:tcPr>
            <w:tcW w:type="dxa" w:w="1291"/>
            <w:shd w:val="clear" w:color="auto" w:fill="F7F7F7"/>
          </w:tcPr>
          <w:p>
            <w:pPr>
              <w:keepNext/>
              <w:spacing w:after="20"/>
            </w:pPr>
            <w:r/>
            <w:r>
              <w:rPr>
                <w:sz w:val="17"/>
              </w:rPr>
            </w:r>
          </w:p>
        </w:tc>
      </w:tr>
      <w:tr>
        <w:trPr>
          <w:cantSplit/>
        </w:trPr>
        <w:tc>
          <w:tcPr>
            <w:tcW w:type="dxa" w:w="688"/>
          </w:tcPr>
          <w:p>
            <w:pPr>
              <w:keepNext/>
              <w:spacing w:after="20"/>
            </w:pPr>
            <w:r/>
            <w:r>
              <w:rPr>
                <w:sz w:val="17"/>
              </w:rPr>
              <w:t>V3</w:t>
            </w:r>
          </w:p>
        </w:tc>
        <w:tc>
          <w:tcPr>
            <w:tcW w:type="dxa" w:w="4475"/>
          </w:tcPr>
          <w:p>
            <w:pPr>
              <w:keepNext/>
              <w:spacing w:after="20"/>
            </w:pPr>
            <w:r/>
            <w:r>
              <w:rPr>
                <w:sz w:val="17"/>
              </w:rPr>
              <w:t>Optional: retaining walls revaluation, if Council selects it</w:t>
            </w:r>
          </w:p>
        </w:tc>
        <w:tc>
          <w:tcPr>
            <w:tcW w:type="dxa" w:w="1033"/>
          </w:tcPr>
          <w:p>
            <w:pPr>
              <w:keepNext/>
              <w:spacing w:after="20"/>
            </w:pPr>
            <w:r/>
            <w:r>
              <w:rPr>
                <w:sz w:val="17"/>
              </w:rPr>
              <w:t>lump</w:t>
            </w:r>
          </w:p>
        </w:tc>
        <w:tc>
          <w:tcPr>
            <w:tcW w:type="dxa" w:w="947"/>
          </w:tcPr>
          <w:p>
            <w:pPr>
              <w:keepNext/>
              <w:spacing w:after="20"/>
            </w:pPr>
            <w:r/>
            <w:r>
              <w:rPr>
                <w:sz w:val="17"/>
              </w:rPr>
              <w:t>1</w:t>
            </w:r>
          </w:p>
        </w:tc>
        <w:tc>
          <w:tcPr>
            <w:tcW w:type="dxa" w:w="1205"/>
          </w:tcPr>
          <w:p>
            <w:pPr>
              <w:keepNext/>
              <w:spacing w:after="20"/>
            </w:pPr>
            <w:r/>
            <w:r>
              <w:rPr>
                <w:sz w:val="17"/>
              </w:rPr>
              <w:t>n/a</w:t>
            </w:r>
          </w:p>
        </w:tc>
        <w:tc>
          <w:tcPr>
            <w:tcW w:type="dxa" w:w="1291"/>
          </w:tcPr>
          <w:p>
            <w:pPr>
              <w:keepNext/>
              <w:spacing w:after="20"/>
            </w:pPr>
            <w:r/>
            <w:r>
              <w:rPr>
                <w:sz w:val="17"/>
              </w:rPr>
            </w:r>
          </w:p>
        </w:tc>
      </w:tr>
      <w:tr>
        <w:trPr>
          <w:cantSplit/>
        </w:trPr>
        <w:tc>
          <w:tcPr>
            <w:tcW w:type="dxa" w:w="688"/>
            <w:shd w:val="clear" w:color="auto" w:fill="F7F7F7"/>
          </w:tcPr>
          <w:p>
            <w:pPr>
              <w:keepNext/>
              <w:spacing w:after="20"/>
            </w:pPr>
            <w:r/>
            <w:r>
              <w:rPr>
                <w:sz w:val="17"/>
              </w:rPr>
              <w:t>V4</w:t>
            </w:r>
          </w:p>
        </w:tc>
        <w:tc>
          <w:tcPr>
            <w:tcW w:type="dxa" w:w="4475"/>
            <w:shd w:val="clear" w:color="auto" w:fill="F7F7F7"/>
          </w:tcPr>
          <w:p>
            <w:pPr>
              <w:keepNext/>
              <w:spacing w:after="20"/>
            </w:pPr>
            <w:r/>
            <w:r>
              <w:rPr>
                <w:sz w:val="17"/>
              </w:rPr>
              <w:t>Artwork valuation advice (state approach and any specialist fee)</w:t>
            </w:r>
          </w:p>
        </w:tc>
        <w:tc>
          <w:tcPr>
            <w:tcW w:type="dxa" w:w="1033"/>
            <w:shd w:val="clear" w:color="auto" w:fill="F7F7F7"/>
          </w:tcPr>
          <w:p>
            <w:pPr>
              <w:keepNext/>
              <w:spacing w:after="20"/>
            </w:pPr>
            <w:r/>
            <w:r>
              <w:rPr>
                <w:sz w:val="17"/>
              </w:rPr>
              <w:t>lump</w:t>
            </w:r>
          </w:p>
        </w:tc>
        <w:tc>
          <w:tcPr>
            <w:tcW w:type="dxa" w:w="947"/>
            <w:shd w:val="clear" w:color="auto" w:fill="F7F7F7"/>
          </w:tcPr>
          <w:p>
            <w:pPr>
              <w:keepNext/>
              <w:spacing w:after="20"/>
            </w:pPr>
            <w:r/>
            <w:r>
              <w:rPr>
                <w:sz w:val="17"/>
              </w:rPr>
              <w:t>1</w:t>
            </w:r>
          </w:p>
        </w:tc>
        <w:tc>
          <w:tcPr>
            <w:tcW w:type="dxa" w:w="1205"/>
            <w:shd w:val="clear" w:color="auto" w:fill="F7F7F7"/>
          </w:tcPr>
          <w:p>
            <w:pPr>
              <w:keepNext/>
              <w:spacing w:after="20"/>
            </w:pPr>
            <w:r/>
            <w:r>
              <w:rPr>
                <w:sz w:val="17"/>
              </w:rPr>
              <w:t>n/a</w:t>
            </w:r>
          </w:p>
        </w:tc>
        <w:tc>
          <w:tcPr>
            <w:tcW w:type="dxa" w:w="1291"/>
            <w:shd w:val="clear" w:color="auto" w:fill="F7F7F7"/>
          </w:tcPr>
          <w:p>
            <w:pPr>
              <w:keepNext/>
              <w:spacing w:after="20"/>
            </w:pPr>
            <w:r/>
            <w:r>
              <w:rPr>
                <w:sz w:val="17"/>
              </w:rPr>
            </w:r>
          </w:p>
        </w:tc>
      </w:tr>
      <w:tr>
        <w:trPr>
          <w:cantSplit/>
        </w:trPr>
        <w:tc>
          <w:tcPr>
            <w:tcW w:type="dxa" w:w="688"/>
          </w:tcPr>
          <w:p>
            <w:pPr>
              <w:spacing w:after="20"/>
            </w:pPr>
            <w:r/>
            <w:r>
              <w:rPr>
                <w:sz w:val="17"/>
              </w:rPr>
              <w:t>V5</w:t>
            </w:r>
          </w:p>
        </w:tc>
        <w:tc>
          <w:tcPr>
            <w:tcW w:type="dxa" w:w="4475"/>
          </w:tcPr>
          <w:p>
            <w:pPr>
              <w:spacing w:after="20"/>
            </w:pPr>
            <w:r/>
            <w:r>
              <w:rPr>
                <w:sz w:val="17"/>
              </w:rPr>
              <w:t>Audit support after March 2027 (allow ten hours)</w:t>
            </w:r>
          </w:p>
        </w:tc>
        <w:tc>
          <w:tcPr>
            <w:tcW w:type="dxa" w:w="1033"/>
          </w:tcPr>
          <w:p>
            <w:pPr>
              <w:spacing w:after="20"/>
            </w:pPr>
            <w:r/>
            <w:r>
              <w:rPr>
                <w:sz w:val="17"/>
              </w:rPr>
              <w:t>hour</w:t>
            </w:r>
          </w:p>
        </w:tc>
        <w:tc>
          <w:tcPr>
            <w:tcW w:type="dxa" w:w="947"/>
          </w:tcPr>
          <w:p>
            <w:pPr>
              <w:spacing w:after="20"/>
            </w:pPr>
            <w:r/>
            <w:r>
              <w:rPr>
                <w:sz w:val="17"/>
              </w:rPr>
              <w:t>10</w:t>
            </w:r>
          </w:p>
        </w:tc>
        <w:tc>
          <w:tcPr>
            <w:tcW w:type="dxa" w:w="1205"/>
          </w:tcPr>
          <w:p>
            <w:pPr>
              <w:spacing w:after="20"/>
            </w:pPr>
            <w:r/>
            <w:r>
              <w:rPr>
                <w:sz w:val="17"/>
              </w:rPr>
            </w:r>
          </w:p>
        </w:tc>
        <w:tc>
          <w:tcPr>
            <w:tcW w:type="dxa" w:w="1291"/>
          </w:tcPr>
          <w:p>
            <w:pPr>
              <w:spacing w:after="20"/>
            </w:pPr>
            <w:r/>
            <w:r>
              <w:rPr>
                <w:sz w:val="17"/>
              </w:rPr>
            </w:r>
          </w:p>
        </w:tc>
      </w:tr>
    </w:tbl>
    <w:p>
      <w:pPr>
        <w:spacing w:after="40"/>
      </w:pPr>
    </w:p>
    <w:p>
      <w:r>
        <w:rPr>
          <w:i w:val="0"/>
        </w:rPr>
        <w:t>Hourly and unit rates for directed additional work:</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19"/>
        <w:gridCol w:w="4819"/>
      </w:tblGrid>
      <w:tr>
        <w:trPr>
          <w:tblHeader/>
          <w:cantSplit/>
        </w:trPr>
        <w:tc>
          <w:tcPr>
            <w:tcW w:type="dxa" w:w="7274"/>
            <w:shd w:val="clear" w:color="auto" w:fill="000000"/>
          </w:tcPr>
          <w:p>
            <w:pPr>
              <w:keepNext/>
            </w:pPr>
            <w:r/>
            <w:r>
              <w:rPr>
                <w:b/>
                <w:color w:val="FFFFFF"/>
                <w:sz w:val="17"/>
              </w:rPr>
              <w:t>Rates for directed additional work (excl. GST)</w:t>
            </w:r>
          </w:p>
        </w:tc>
        <w:tc>
          <w:tcPr>
            <w:tcW w:type="dxa" w:w="2364"/>
            <w:shd w:val="clear" w:color="auto" w:fill="000000"/>
          </w:tcPr>
          <w:p>
            <w:pPr>
              <w:keepNext/>
            </w:pPr>
            <w:r/>
            <w:r>
              <w:rPr>
                <w:b/>
                <w:color w:val="FFFFFF"/>
                <w:sz w:val="17"/>
              </w:rPr>
              <w:t>Rate</w:t>
            </w:r>
          </w:p>
        </w:tc>
      </w:tr>
      <w:tr>
        <w:trPr>
          <w:cantSplit/>
        </w:trPr>
        <w:tc>
          <w:tcPr>
            <w:tcW w:type="dxa" w:w="7274"/>
          </w:tcPr>
          <w:p>
            <w:pPr>
              <w:keepNext/>
              <w:spacing w:after="20"/>
            </w:pPr>
            <w:r/>
            <w:r>
              <w:rPr>
                <w:sz w:val="17"/>
              </w:rPr>
              <w:t>Director / principal valuer</w:t>
            </w:r>
          </w:p>
        </w:tc>
        <w:tc>
          <w:tcPr>
            <w:tcW w:type="dxa" w:w="2364"/>
          </w:tcPr>
          <w:p>
            <w:pPr>
              <w:keepNext/>
              <w:spacing w:after="20"/>
              <w:jc w:val="right"/>
            </w:pPr>
            <w:r/>
            <w:r>
              <w:rPr>
                <w:sz w:val="17"/>
              </w:rPr>
              <w:t>$ / hour</w:t>
            </w:r>
          </w:p>
        </w:tc>
      </w:tr>
      <w:tr>
        <w:trPr>
          <w:cantSplit/>
        </w:trPr>
        <w:tc>
          <w:tcPr>
            <w:tcW w:type="dxa" w:w="7274"/>
            <w:shd w:val="clear" w:color="auto" w:fill="F7F7F7"/>
          </w:tcPr>
          <w:p>
            <w:pPr>
              <w:keepNext/>
              <w:spacing w:after="20"/>
            </w:pPr>
            <w:r/>
            <w:r>
              <w:rPr>
                <w:sz w:val="17"/>
              </w:rPr>
              <w:t>Senior valuer</w:t>
            </w:r>
          </w:p>
        </w:tc>
        <w:tc>
          <w:tcPr>
            <w:tcW w:type="dxa" w:w="2364"/>
            <w:shd w:val="clear" w:color="auto" w:fill="F7F7F7"/>
          </w:tcPr>
          <w:p>
            <w:pPr>
              <w:keepNext/>
              <w:spacing w:after="20"/>
              <w:jc w:val="right"/>
            </w:pPr>
            <w:r/>
            <w:r>
              <w:rPr>
                <w:sz w:val="17"/>
              </w:rPr>
              <w:t>$ / hour</w:t>
            </w:r>
          </w:p>
        </w:tc>
      </w:tr>
      <w:tr>
        <w:trPr>
          <w:cantSplit/>
        </w:trPr>
        <w:tc>
          <w:tcPr>
            <w:tcW w:type="dxa" w:w="7274"/>
          </w:tcPr>
          <w:p>
            <w:pPr>
              <w:keepNext/>
              <w:spacing w:after="20"/>
            </w:pPr>
            <w:r/>
            <w:r>
              <w:rPr>
                <w:sz w:val="17"/>
              </w:rPr>
              <w:t>Valuer / analyst</w:t>
            </w:r>
          </w:p>
        </w:tc>
        <w:tc>
          <w:tcPr>
            <w:tcW w:type="dxa" w:w="2364"/>
          </w:tcPr>
          <w:p>
            <w:pPr>
              <w:keepNext/>
              <w:spacing w:after="20"/>
              <w:jc w:val="right"/>
            </w:pPr>
            <w:r/>
            <w:r>
              <w:rPr>
                <w:sz w:val="17"/>
              </w:rPr>
              <w:t>$ / hour</w:t>
            </w:r>
          </w:p>
        </w:tc>
      </w:tr>
      <w:tr>
        <w:trPr>
          <w:cantSplit/>
        </w:trPr>
        <w:tc>
          <w:tcPr>
            <w:tcW w:type="dxa" w:w="7274"/>
            <w:shd w:val="clear" w:color="auto" w:fill="F7F7F7"/>
          </w:tcPr>
          <w:p>
            <w:pPr>
              <w:keepNext/>
              <w:spacing w:after="20"/>
            </w:pPr>
            <w:r/>
            <w:r>
              <w:rPr>
                <w:sz w:val="17"/>
              </w:rPr>
              <w:t>Specialist art valuer (if used)</w:t>
            </w:r>
          </w:p>
        </w:tc>
        <w:tc>
          <w:tcPr>
            <w:tcW w:type="dxa" w:w="2364"/>
            <w:shd w:val="clear" w:color="auto" w:fill="F7F7F7"/>
          </w:tcPr>
          <w:p>
            <w:pPr>
              <w:keepNext/>
              <w:spacing w:after="20"/>
              <w:jc w:val="right"/>
            </w:pPr>
            <w:r/>
            <w:r>
              <w:rPr>
                <w:sz w:val="17"/>
              </w:rPr>
              <w:t>$ / hour or fee</w:t>
            </w:r>
          </w:p>
        </w:tc>
      </w:tr>
      <w:tr>
        <w:trPr>
          <w:cantSplit/>
        </w:trPr>
        <w:tc>
          <w:tcPr>
            <w:tcW w:type="dxa" w:w="7274"/>
          </w:tcPr>
          <w:p>
            <w:pPr>
              <w:spacing w:after="20"/>
            </w:pPr>
            <w:r/>
            <w:r>
              <w:rPr>
                <w:sz w:val="17"/>
              </w:rPr>
              <w:t>Additional asset class valuation (state basis)</w:t>
            </w:r>
          </w:p>
        </w:tc>
        <w:tc>
          <w:tcPr>
            <w:tcW w:type="dxa" w:w="2364"/>
          </w:tcPr>
          <w:p>
            <w:pPr>
              <w:spacing w:after="20"/>
              <w:jc w:val="right"/>
            </w:pPr>
            <w:r/>
            <w:r>
              <w:rPr>
                <w:sz w:val="17"/>
              </w:rPr>
              <w:t>$ / class</w:t>
            </w:r>
          </w:p>
        </w:tc>
      </w:tr>
    </w:tbl>
    <w:p>
      <w:pPr>
        <w:spacing w:after="40"/>
      </w:pPr>
    </w:p>
    <w:p>
      <w:pPr>
        <w:pStyle w:val="Heading2"/>
      </w:pPr>
      <w:r>
        <w:t>Exclusions and assumptions</w:t>
      </w:r>
    </w:p>
    <w:p>
      <w:r>
        <w:rPr>
          <w:i w:val="0"/>
        </w:rPr>
        <w:t>Please list every exclusion and assumption. Anything not excluded is taken to be included. JCE will carry your assumptions into its tender only where Council's RFT allows them.</w:t>
      </w:r>
    </w:p>
    <w:p>
      <w:pPr>
        <w:pStyle w:val="Heading2"/>
      </w:pPr>
      <w:r>
        <w:t>Validity</w:t>
      </w:r>
    </w:p>
    <w:p>
      <w:r>
        <w:rPr>
          <w:i w:val="0"/>
        </w:rPr>
        <w:t>Please hold your prices for ninety (90) days from the tender closing date (28/10/2026), that is, until 26/01/2027, to match Council's tender validity.</w:t>
      </w:r>
    </w:p>
    <w:p>
      <w:pPr>
        <w:pStyle w:val="Heading1"/>
        <w:pBdr>
          <w:bottom w:val="single" w:sz="6" w:space="1" w:color="C9A227"/>
        </w:pBdr>
      </w:pPr>
      <w:r>
        <w:t>8.0   Independence and conflict of interest</w:t>
      </w:r>
    </w:p>
    <w:p>
      <w:pPr>
        <w:pStyle w:val="ListBullet"/>
        <w:spacing w:after="40"/>
      </w:pPr>
      <w:r>
        <w:t>Please tell us early whether you are tendering for RFT 47-26 yourself, or quoting to another tenderer. JCE does not ask for exclusivity, but it needs to know.</w:t>
      </w:r>
    </w:p>
    <w:p>
      <w:pPr>
        <w:pStyle w:val="ListBullet"/>
        <w:spacing w:after="40"/>
      </w:pPr>
      <w:r>
        <w:t>Please declare any previous or current work for Inner West Council on these assets (for example a past condition audit or revaluation) and any relationship with Council staff. Past work is valuable experience but Council requires conflicts to be declared (Respondent Declaration).</w:t>
      </w:r>
    </w:p>
    <w:p>
      <w:pPr>
        <w:pStyle w:val="ListBullet"/>
        <w:spacing w:after="40"/>
      </w:pPr>
      <w:r>
        <w:t>Do not contact Council officers about RFT 47-26. Council's ethical rules allow contact only through the Contact Person on the VendorPanel forum, and JCE will lodge any questions there for you.</w:t>
      </w:r>
    </w:p>
    <w:p>
      <w:pPr>
        <w:pStyle w:val="Heading1"/>
        <w:pBdr>
          <w:bottom w:val="single" w:sz="6" w:space="1" w:color="C9A227"/>
        </w:pBdr>
      </w:pPr>
      <w:r>
        <w:t>9.0   Confidentiality</w:t>
      </w:r>
    </w:p>
    <w:p>
      <w:r>
        <w:rPr>
          <w:i w:val="0"/>
        </w:rPr>
        <w:t>This request, Council's documents and JCE's pricing are confidential. They are provided only for preparing your quotation. Please do not share them or use them for any other purpose, and delete them if you do not quote or JCE is unsuccessful. Council's RFT documents remain Council's intellectual property and may be used only to prepare a tender (RFT clause 3.17).</w:t>
      </w:r>
    </w:p>
    <w:p>
      <w:pPr>
        <w:pStyle w:val="Heading1"/>
        <w:pBdr>
          <w:bottom w:val="single" w:sz="6" w:space="1" w:color="C9A227"/>
        </w:pBdr>
      </w:pPr>
      <w:r>
        <w:t>10.0   Basis of engagement</w:t>
      </w:r>
    </w:p>
    <w:p>
      <w:pPr>
        <w:pStyle w:val="ListBullet"/>
        <w:spacing w:after="40"/>
      </w:pPr>
      <w:r>
        <w:t>Your engagement depends on Council awarding the contract to JCE and approving you as a subcontractor. JCE makes no commitment, and pays no costs of preparing your quotation, until then.</w:t>
      </w:r>
    </w:p>
    <w:p>
      <w:pPr>
        <w:pStyle w:val="ListBullet"/>
        <w:spacing w:after="40"/>
      </w:pPr>
      <w:r>
        <w:t>If JCE is successful, JCE will engage you under a written subcontract consistent with Council's Consultancy Agreement (insurance, confidentiality, intellectual property, WHS and payment terms), with payment within 7 days of JCE receiving payment from Council for your work.</w:t>
      </w:r>
    </w:p>
    <w:p>
      <w:pPr>
        <w:pStyle w:val="ListBullet"/>
        <w:spacing w:after="40"/>
      </w:pPr>
      <w:r>
        <w:t>Council may select any combination of optional asset classes, or none. Your optional items are engaged only if Council selects them.</w:t>
      </w:r>
    </w:p>
    <w:p>
      <w:pPr>
        <w:pStyle w:val="Heading1"/>
        <w:pBdr>
          <w:bottom w:val="single" w:sz="6" w:space="1" w:color="C9A227"/>
        </w:pBdr>
      </w:pPr>
      <w:r>
        <w:t>11.0   How to respond</w:t>
      </w:r>
    </w:p>
    <w:p>
      <w:r>
        <w:rPr>
          <w:i w:val="0"/>
        </w:rPr>
        <w:t>Please email your quotation to jayden@jceinfrastructure.com.au by 12:00 pm, Wednesday 21/10/2026, with: the completed pricing schedule and rates; exclusions and assumptions; company profile; key staff CVs; two to three comparable projects with referees; certificates of currency; your declaration under Section 8.0; and any comments on the contract terms in Section 6.0. Questions are welcome by phone on 0477 207 027 or by email by 12:00 pm, Friday 16/10/2026.</w:t>
      </w:r>
    </w:p>
    <w:p>
      <w:pPr>
        <w:keepNext/>
      </w:pPr>
      <w:r>
        <w:rPr>
          <w:i w:val="0"/>
        </w:rPr>
        <w:t>Yours faithfully,</w:t>
      </w:r>
    </w:p>
    <w:p>
      <w:pPr>
        <w:keepNext/>
      </w:pPr>
      <w:r>
        <w:rPr>
          <w:i w:val="0"/>
        </w:rPr>
        <w:t>[signature]</w:t>
      </w:r>
    </w:p>
    <w:p>
      <w:pPr>
        <w:keepNext/>
      </w:pPr>
      <w:r>
        <w:rPr>
          <w:i w:val="0"/>
        </w:rPr>
        <w:t>Jayden Callen</w:t>
      </w:r>
    </w:p>
    <w:p>
      <w:pPr>
        <w:keepNext/>
      </w:pPr>
      <w:r>
        <w:rPr>
          <w:i w:val="0"/>
        </w:rPr>
        <w:t>Director, JCE Infrastructure Pty Ltd  |  ABN 29 699 165 663</w:t>
      </w:r>
    </w:p>
    <w:p>
      <w:r>
        <w:rPr>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5"/>
      </w:rPr>
      <w:t xml:space="preserve">JCE Infrastructure  |  JCE-RFQ-VP527819-03 Rev C  |  Inner West Council RFT 47-26  |  Confidential    Page </w:t>
    </w:r>
    <w:r>
      <w:rPr>
        <w:color w:val="595959"/>
        <w:sz w:val="15"/>
      </w:rPr>
      <w:fldChar w:fldCharType="begin"/>
      <w:instrText xml:space="preserve">PAGE</w:instrText>
      <w:fldChar w:fldCharType="end"/>
    </w:r>
    <w:r>
      <w:rPr>
        <w:color w:val="595959"/>
        <w:sz w:val="15"/>
      </w:rPr>
      <w:t xml:space="preserve"> of </w:t>
    </w:r>
    <w:r>
      <w:rPr>
        <w:color w:val="595959"/>
        <w:sz w:val="15"/>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