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32"/>
        </w:rPr>
        <w:t>REQUEST FOR QUOTATION</w:t>
      </w:r>
    </w:p>
    <w:p>
      <w:pPr>
        <w:spacing w:after="40"/>
      </w:pPr>
      <w:r>
        <w:rPr>
          <w:b/>
          <w:sz w:val="24"/>
        </w:rPr>
        <w:t>Valuer: review and sign-off of transport and bridge asset valuations</w:t>
      </w:r>
    </w:p>
    <w:p>
      <w:pPr>
        <w:spacing w:after="160"/>
      </w:pPr>
      <w:r>
        <w:rPr>
          <w:b w:val="0"/>
          <w:color w:val="555555"/>
          <w:sz w:val="20"/>
        </w:rPr>
        <w:t>Murray River Council tender MRC-2645, Infrastructure Asset Condition Assessments (VendorPanel VP527277)</w:t>
      </w:r>
    </w:p>
    <w:tbl>
      <w:tblPr>
        <w:tblStyle w:val="TableGrid"/>
        <w:tblW w:type="auto" w:w="0"/>
        <w:tblLayout w:type="fixed"/>
        <w:tblLook w:firstColumn="1" w:firstRow="1" w:lastColumn="0" w:lastRow="0" w:noHBand="0" w:noVBand="1" w:val="04A0"/>
      </w:tblPr>
      <w:tblGrid>
        <w:gridCol w:w="2608"/>
        <w:gridCol w:w="7030"/>
      </w:tblGrid>
      <w:tr>
        <w:tc>
          <w:tcPr>
            <w:tcW w:type="dxa" w:w="2608"/>
            <w:shd w:val="clear" w:color="auto" w:fill="E8EEF5"/>
          </w:tcPr>
          <w:p>
            <w:r>
              <w:rPr>
                <w:b/>
                <w:sz w:val="19"/>
              </w:rPr>
              <w:t>To</w:t>
            </w:r>
          </w:p>
        </w:tc>
        <w:tc>
          <w:tcPr>
            <w:tcW w:type="dxa" w:w="7030"/>
          </w:tcPr>
          <w:p>
            <w:r>
              <w:rPr>
                <w:b w:val="0"/>
                <w:sz w:val="19"/>
              </w:rPr>
              <w:t>Australis Asset Advisory Group, Valuations</w:t>
            </w:r>
          </w:p>
        </w:tc>
      </w:tr>
      <w:tr>
        <w:tc>
          <w:tcPr>
            <w:tcW w:type="dxa" w:w="2608"/>
            <w:shd w:val="clear" w:color="auto" w:fill="E8EEF5"/>
          </w:tcPr>
          <w:p>
            <w:r>
              <w:rPr>
                <w:b/>
                <w:sz w:val="19"/>
              </w:rPr>
              <w:t>From</w:t>
            </w:r>
          </w:p>
        </w:tc>
        <w:tc>
          <w:tcPr>
            <w:tcW w:type="dxa" w:w="7030"/>
          </w:tcPr>
          <w:p>
            <w:r>
              <w:rPr>
                <w:b w:val="0"/>
                <w:sz w:val="19"/>
              </w:rPr>
              <w:t>Jayden Callen, Director, JCE Infrastructure Pty Ltd</w:t>
            </w:r>
          </w:p>
        </w:tc>
      </w:tr>
      <w:tr>
        <w:tc>
          <w:tcPr>
            <w:tcW w:type="dxa" w:w="2608"/>
            <w:shd w:val="clear" w:color="auto" w:fill="E8EEF5"/>
          </w:tcPr>
          <w:p>
            <w:r>
              <w:rPr>
                <w:b/>
                <w:sz w:val="19"/>
              </w:rPr>
              <w:t>Date</w:t>
            </w:r>
          </w:p>
        </w:tc>
        <w:tc>
          <w:tcPr>
            <w:tcW w:type="dxa" w:w="7030"/>
          </w:tcPr>
          <w:p>
            <w:r>
              <w:rPr>
                <w:b w:val="0"/>
                <w:sz w:val="19"/>
              </w:rPr>
              <w:t>12/10/2026</w:t>
            </w:r>
          </w:p>
        </w:tc>
      </w:tr>
      <w:tr>
        <w:tc>
          <w:tcPr>
            <w:tcW w:type="dxa" w:w="2608"/>
            <w:shd w:val="clear" w:color="auto" w:fill="E8EEF5"/>
          </w:tcPr>
          <w:p>
            <w:r>
              <w:rPr>
                <w:b/>
                <w:sz w:val="19"/>
              </w:rPr>
              <w:t>RFQ number</w:t>
            </w:r>
          </w:p>
        </w:tc>
        <w:tc>
          <w:tcPr>
            <w:tcW w:type="dxa" w:w="7030"/>
          </w:tcPr>
          <w:p>
            <w:r>
              <w:rPr>
                <w:b w:val="0"/>
                <w:sz w:val="19"/>
              </w:rPr>
              <w:t>JCE-RFQ-VP527277-03 (Rev B, final)</w:t>
            </w:r>
          </w:p>
        </w:tc>
      </w:tr>
      <w:tr>
        <w:tc>
          <w:tcPr>
            <w:tcW w:type="dxa" w:w="2608"/>
            <w:shd w:val="clear" w:color="auto" w:fill="E8EEF5"/>
          </w:tcPr>
          <w:p>
            <w:r>
              <w:rPr>
                <w:b/>
                <w:sz w:val="19"/>
              </w:rPr>
              <w:t>Quote due</w:t>
            </w:r>
          </w:p>
        </w:tc>
        <w:tc>
          <w:tcPr>
            <w:tcW w:type="dxa" w:w="7030"/>
          </w:tcPr>
          <w:p>
            <w:r>
              <w:rPr>
                <w:b/>
                <w:sz w:val="19"/>
              </w:rPr>
              <w:t>12:00 pm, Wednesday 28/10/2026</w:t>
            </w:r>
          </w:p>
        </w:tc>
      </w:tr>
      <w:tr>
        <w:tc>
          <w:tcPr>
            <w:tcW w:type="dxa" w:w="2608"/>
            <w:shd w:val="clear" w:color="auto" w:fill="E8EEF5"/>
          </w:tcPr>
          <w:p>
            <w:r>
              <w:rPr>
                <w:b/>
                <w:sz w:val="19"/>
              </w:rPr>
              <w:t>Tender closes</w:t>
            </w:r>
          </w:p>
        </w:tc>
        <w:tc>
          <w:tcPr>
            <w:tcW w:type="dxa" w:w="7030"/>
          </w:tcPr>
          <w:p>
            <w:r>
              <w:rPr>
                <w:b w:val="0"/>
                <w:sz w:val="19"/>
              </w:rPr>
              <w:t>2:00 pm, Friday 13/11/2026 (Council's VendorPanel close)</w:t>
            </w:r>
          </w:p>
        </w:tc>
      </w:tr>
      <w:tr>
        <w:tc>
          <w:tcPr>
            <w:tcW w:type="dxa" w:w="2608"/>
            <w:shd w:val="clear" w:color="auto" w:fill="E8EEF5"/>
          </w:tcPr>
          <w:p>
            <w:r>
              <w:rPr>
                <w:b/>
                <w:sz w:val="19"/>
              </w:rPr>
              <w:t>Confirm you will quote</w:t>
            </w:r>
          </w:p>
        </w:tc>
        <w:tc>
          <w:tcPr>
            <w:tcW w:type="dxa" w:w="7030"/>
          </w:tcPr>
          <w:p>
            <w:r>
              <w:rPr>
                <w:b w:val="0"/>
                <w:sz w:val="19"/>
              </w:rPr>
              <w:t>By Monday 19/10/2026</w:t>
            </w:r>
          </w:p>
        </w:tc>
      </w:tr>
      <w:tr>
        <w:tc>
          <w:tcPr>
            <w:tcW w:type="dxa" w:w="2608"/>
            <w:shd w:val="clear" w:color="auto" w:fill="E8EEF5"/>
          </w:tcPr>
          <w:p>
            <w:r>
              <w:rPr>
                <w:b/>
                <w:sz w:val="19"/>
              </w:rPr>
              <w:t>Questions to JCE</w:t>
            </w:r>
          </w:p>
        </w:tc>
        <w:tc>
          <w:tcPr>
            <w:tcW w:type="dxa" w:w="7030"/>
          </w:tcPr>
          <w:p>
            <w:r>
              <w:rPr>
                <w:b w:val="0"/>
                <w:sz w:val="19"/>
              </w:rPr>
              <w:t>By 12:00 pm, Wednesday 21/10/2026</w:t>
            </w:r>
          </w:p>
        </w:tc>
      </w:tr>
      <w:tr>
        <w:tc>
          <w:tcPr>
            <w:tcW w:type="dxa" w:w="2608"/>
            <w:shd w:val="clear" w:color="auto" w:fill="E8EEF5"/>
          </w:tcPr>
          <w:p>
            <w:r>
              <w:rPr>
                <w:b/>
                <w:sz w:val="19"/>
              </w:rPr>
              <w:t>Status</w:t>
            </w:r>
          </w:p>
        </w:tc>
        <w:tc>
          <w:tcPr>
            <w:tcW w:type="dxa" w:w="7030"/>
          </w:tcPr>
          <w:p>
            <w:r>
              <w:rPr>
                <w:b w:val="0"/>
                <w:sz w:val="19"/>
              </w:rPr>
              <w:t>Pricing request for a tender. Any engagement depends on JCE winning the contract.</w:t>
            </w:r>
          </w:p>
        </w:tc>
      </w:tr>
    </w:tbl>
    <w:p>
      <w:pPr>
        <w:spacing w:after="0"/>
      </w:pPr>
    </w:p>
    <w:p>
      <w:r>
        <w:rPr>
          <w:b w:val="0"/>
        </w:rPr>
        <w:t>Dear Australis team,</w:t>
      </w:r>
    </w:p>
    <w:p>
      <w:r>
        <w:rPr>
          <w:b w:val="0"/>
        </w:rPr>
        <w:t>JCE invites you to quote for the review and signing of Murray River Council's transport and bridge infrastructure valuations from 2027 to 2031, as JCE's valuer in its tender for MRC-2645, with an alternative price for preparing the Year 1 valuation yourselves.</w:t>
      </w:r>
    </w:p>
    <w:p>
      <w:pPr>
        <w:keepNext/>
        <w:spacing w:before="200"/>
      </w:pPr>
      <w:r>
        <w:rPr>
          <w:b/>
          <w:color w:val="1F3A5F"/>
          <w:sz w:val="23"/>
        </w:rPr>
        <w:t>1.0   Project and tender background</w:t>
      </w:r>
    </w:p>
    <w:p>
      <w:r>
        <w:rPr>
          <w:b w:val="0"/>
        </w:rPr>
        <w:t>Murray River Council (Council) has invited tenders (MRC-2645, VendorPanel VP527277) for the inspection, condition assessment, remaining useful life and comprehensive valuation of all transport and bridge infrastructure across the Murray River LGA, in four zones: Barham, Mathoura, Moama and Moulamein. The first valuation is as at 30/06/2027. A rolling program follows, with one zone physically inspected each year from 2028 to 2031 and a valuation by 30 June each year.</w:t>
      </w:r>
    </w:p>
    <w:p>
      <w:r>
        <w:rPr>
          <w:b w:val="0"/>
        </w:rPr>
        <w:t>Council wants one supplier and one lump sum, broken down by asset category and valuation year. JCE Infrastructure (JCE) is tendering as Lead Consultant. JCE is responsible for the methodology, quality control, data, remaining life, defect and safety assessment, 10-year programs, the valuation and reporting, and works with specialist partners for road imaging, bridge inspection and valuation sign-off.</w:t>
      </w:r>
    </w:p>
    <w:p>
      <w:pPr>
        <w:keepNext/>
      </w:pPr>
      <w:r>
        <w:rPr>
          <w:b w:val="0"/>
        </w:rPr>
        <w:t>Valuations required by Council (Project Brief sections 2 and 5):</w:t>
      </w:r>
    </w:p>
    <w:tbl>
      <w:tblPr>
        <w:tblStyle w:val="TableGrid"/>
        <w:tblW w:type="auto" w:w="0"/>
        <w:jc w:val="center"/>
        <w:tblLayout w:type="fixed"/>
        <w:tblLook w:firstColumn="1" w:firstRow="1" w:lastColumn="0" w:lastRow="0" w:noHBand="0" w:noVBand="1" w:val="04A0"/>
      </w:tblPr>
      <w:tblGrid>
        <w:gridCol w:w="2835"/>
        <w:gridCol w:w="1361"/>
        <w:gridCol w:w="3402"/>
        <w:gridCol w:w="2041"/>
      </w:tblGrid>
      <w:tr>
        <w:trPr>
          <w:tblHeader/>
          <w:cantSplit/>
        </w:trPr>
        <w:tc>
          <w:tcPr>
            <w:tcW w:type="dxa" w:w="2835"/>
            <w:shd w:val="clear" w:color="auto" w:fill="1F3A5F"/>
          </w:tcPr>
          <w:p>
            <w:pPr>
              <w:keepNext/>
              <w:spacing w:after="20"/>
            </w:pPr>
            <w:r>
              <w:rPr>
                <w:b/>
                <w:color w:val="FFFFFF"/>
                <w:sz w:val="18"/>
              </w:rPr>
              <w:t>Valuation</w:t>
            </w:r>
          </w:p>
        </w:tc>
        <w:tc>
          <w:tcPr>
            <w:tcW w:type="dxa" w:w="1361"/>
            <w:shd w:val="clear" w:color="auto" w:fill="1F3A5F"/>
          </w:tcPr>
          <w:p>
            <w:pPr>
              <w:keepNext/>
              <w:spacing w:after="20"/>
            </w:pPr>
            <w:r>
              <w:rPr>
                <w:b/>
                <w:color w:val="FFFFFF"/>
                <w:sz w:val="18"/>
              </w:rPr>
              <w:t>Date</w:t>
            </w:r>
          </w:p>
        </w:tc>
        <w:tc>
          <w:tcPr>
            <w:tcW w:type="dxa" w:w="3402"/>
            <w:shd w:val="clear" w:color="auto" w:fill="1F3A5F"/>
          </w:tcPr>
          <w:p>
            <w:pPr>
              <w:keepNext/>
              <w:spacing w:after="20"/>
            </w:pPr>
            <w:r>
              <w:rPr>
                <w:b/>
                <w:color w:val="FFFFFF"/>
                <w:sz w:val="18"/>
              </w:rPr>
              <w:t>Basis</w:t>
            </w:r>
          </w:p>
        </w:tc>
        <w:tc>
          <w:tcPr>
            <w:tcW w:type="dxa" w:w="2041"/>
            <w:shd w:val="clear" w:color="auto" w:fill="1F3A5F"/>
          </w:tcPr>
          <w:p>
            <w:pPr>
              <w:keepNext/>
              <w:spacing w:after="20"/>
            </w:pPr>
            <w:r>
              <w:rPr>
                <w:b/>
                <w:color w:val="FFFFFF"/>
                <w:sz w:val="18"/>
              </w:rPr>
              <w:t>Field input</w:t>
            </w:r>
          </w:p>
        </w:tc>
      </w:tr>
      <w:tr>
        <w:trPr>
          <w:cantSplit/>
        </w:trPr>
        <w:tc>
          <w:tcPr>
            <w:tcW w:type="dxa" w:w="2835"/>
          </w:tcPr>
          <w:p>
            <w:pPr>
              <w:keepNext/>
              <w:spacing w:after="20"/>
            </w:pPr>
            <w:r>
              <w:rPr>
                <w:sz w:val="18"/>
              </w:rPr>
              <w:t>Comprehensive valuation, all transport and bridge assets</w:t>
            </w:r>
          </w:p>
        </w:tc>
        <w:tc>
          <w:tcPr>
            <w:tcW w:type="dxa" w:w="1361"/>
          </w:tcPr>
          <w:p>
            <w:pPr>
              <w:keepNext/>
              <w:spacing w:after="20"/>
            </w:pPr>
            <w:r>
              <w:rPr>
                <w:sz w:val="18"/>
              </w:rPr>
              <w:t>30/06/2027</w:t>
            </w:r>
          </w:p>
        </w:tc>
        <w:tc>
          <w:tcPr>
            <w:tcW w:type="dxa" w:w="3402"/>
          </w:tcPr>
          <w:p>
            <w:pPr>
              <w:keepNext/>
              <w:spacing w:after="20"/>
            </w:pPr>
            <w:r>
              <w:rPr>
                <w:sz w:val="18"/>
              </w:rPr>
              <w:t>Fair value, AASB 13 and AASB 116; NSW Local Government Code of Accounting Practice and Financial Reporting</w:t>
            </w:r>
          </w:p>
        </w:tc>
        <w:tc>
          <w:tcPr>
            <w:tcW w:type="dxa" w:w="2041"/>
          </w:tcPr>
          <w:p>
            <w:pPr>
              <w:keepNext/>
              <w:spacing w:after="20"/>
            </w:pPr>
            <w:r>
              <w:rPr>
                <w:sz w:val="18"/>
              </w:rPr>
              <w:t>Full inspection of all four zones</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30/06/2028</w:t>
            </w:r>
          </w:p>
        </w:tc>
        <w:tc>
          <w:tcPr>
            <w:tcW w:type="dxa" w:w="3402"/>
          </w:tcPr>
          <w:p>
            <w:pPr>
              <w:keepNext/>
              <w:spacing w:after="20"/>
            </w:pPr>
            <w:r>
              <w:rPr>
                <w:sz w:val="18"/>
              </w:rPr>
              <w:t>As above</w:t>
            </w:r>
          </w:p>
        </w:tc>
        <w:tc>
          <w:tcPr>
            <w:tcW w:type="dxa" w:w="2041"/>
          </w:tcPr>
          <w:p>
            <w:pPr>
              <w:keepNext/>
              <w:spacing w:after="20"/>
            </w:pPr>
            <w:r>
              <w:rPr>
                <w:sz w:val="18"/>
              </w:rPr>
              <w:t>Zone 1 Barham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30/06/2029</w:t>
            </w:r>
          </w:p>
        </w:tc>
        <w:tc>
          <w:tcPr>
            <w:tcW w:type="dxa" w:w="3402"/>
          </w:tcPr>
          <w:p>
            <w:pPr>
              <w:keepNext/>
              <w:spacing w:after="20"/>
            </w:pPr>
            <w:r>
              <w:rPr>
                <w:sz w:val="18"/>
              </w:rPr>
              <w:t>As above</w:t>
            </w:r>
          </w:p>
        </w:tc>
        <w:tc>
          <w:tcPr>
            <w:tcW w:type="dxa" w:w="2041"/>
          </w:tcPr>
          <w:p>
            <w:pPr>
              <w:keepNext/>
              <w:spacing w:after="20"/>
            </w:pPr>
            <w:r>
              <w:rPr>
                <w:sz w:val="18"/>
              </w:rPr>
              <w:t>Zone 2 Mathoura inspected</w:t>
            </w:r>
          </w:p>
        </w:tc>
      </w:tr>
      <w:tr>
        <w:trPr>
          <w:cantSplit/>
        </w:trPr>
        <w:tc>
          <w:tcPr>
            <w:tcW w:type="dxa" w:w="2835"/>
          </w:tcPr>
          <w:p>
            <w:pPr>
              <w:keepNext/>
              <w:spacing w:after="20"/>
            </w:pPr>
            <w:r>
              <w:rPr>
                <w:sz w:val="18"/>
              </w:rPr>
              <w:t>Desktop revaluation of the whole class</w:t>
            </w:r>
          </w:p>
        </w:tc>
        <w:tc>
          <w:tcPr>
            <w:tcW w:type="dxa" w:w="1361"/>
          </w:tcPr>
          <w:p>
            <w:pPr>
              <w:keepNext/>
              <w:spacing w:after="20"/>
            </w:pPr>
            <w:r>
              <w:rPr>
                <w:sz w:val="18"/>
              </w:rPr>
              <w:t>30/06/2030</w:t>
            </w:r>
          </w:p>
        </w:tc>
        <w:tc>
          <w:tcPr>
            <w:tcW w:type="dxa" w:w="3402"/>
          </w:tcPr>
          <w:p>
            <w:pPr>
              <w:keepNext/>
              <w:spacing w:after="20"/>
            </w:pPr>
            <w:r>
              <w:rPr>
                <w:sz w:val="18"/>
              </w:rPr>
              <w:t>As above</w:t>
            </w:r>
          </w:p>
        </w:tc>
        <w:tc>
          <w:tcPr>
            <w:tcW w:type="dxa" w:w="2041"/>
          </w:tcPr>
          <w:p>
            <w:pPr>
              <w:keepNext/>
              <w:spacing w:after="20"/>
            </w:pPr>
            <w:r>
              <w:rPr>
                <w:sz w:val="18"/>
              </w:rPr>
              <w:t>Zone 3 Moama inspected</w:t>
            </w:r>
          </w:p>
        </w:tc>
      </w:tr>
      <w:tr>
        <w:trPr>
          <w:cantSplit/>
        </w:trPr>
        <w:tc>
          <w:tcPr>
            <w:tcW w:type="dxa" w:w="2835"/>
          </w:tcPr>
          <w:p>
            <w:pPr>
              <w:spacing w:after="20"/>
            </w:pPr>
            <w:r>
              <w:rPr>
                <w:sz w:val="18"/>
              </w:rPr>
              <w:t>Comprehensive valuation of the whole class</w:t>
            </w:r>
          </w:p>
        </w:tc>
        <w:tc>
          <w:tcPr>
            <w:tcW w:type="dxa" w:w="1361"/>
          </w:tcPr>
          <w:p>
            <w:pPr>
              <w:spacing w:after="20"/>
            </w:pPr>
            <w:r>
              <w:rPr>
                <w:sz w:val="18"/>
              </w:rPr>
              <w:t>30/06/2031</w:t>
            </w:r>
          </w:p>
        </w:tc>
        <w:tc>
          <w:tcPr>
            <w:tcW w:type="dxa" w:w="3402"/>
          </w:tcPr>
          <w:p>
            <w:pPr>
              <w:spacing w:after="20"/>
            </w:pPr>
            <w:r>
              <w:rPr>
                <w:sz w:val="18"/>
              </w:rPr>
              <w:t>As above</w:t>
            </w:r>
          </w:p>
        </w:tc>
        <w:tc>
          <w:tcPr>
            <w:tcW w:type="dxa" w:w="2041"/>
          </w:tcPr>
          <w:p>
            <w:pPr>
              <w:spacing w:after="20"/>
            </w:pPr>
            <w:r>
              <w:rPr>
                <w:sz w:val="18"/>
              </w:rPr>
              <w:t>Zone 4 Moulamein inspected</w:t>
            </w:r>
          </w:p>
        </w:tc>
      </w:tr>
    </w:tbl>
    <w:p>
      <w:pPr>
        <w:spacing w:after="0"/>
      </w:pPr>
    </w:p>
    <w:p>
      <w:pPr>
        <w:keepNext/>
        <w:spacing w:before="200"/>
      </w:pPr>
      <w:r>
        <w:rPr>
          <w:b/>
          <w:color w:val="1F3A5F"/>
          <w:sz w:val="23"/>
        </w:rPr>
        <w:t>2.0   Scope of services requested</w:t>
      </w:r>
    </w:p>
    <w:p>
      <w:pPr>
        <w:keepNext/>
        <w:spacing w:before="80"/>
      </w:pPr>
      <w:r>
        <w:rPr>
          <w:b/>
        </w:rPr>
        <w:t>Asset classes</w:t>
      </w:r>
    </w:p>
    <w:p>
      <w:pPr>
        <w:pStyle w:val="ListBullet"/>
        <w:keepNext/>
        <w:spacing w:after="40"/>
      </w:pPr>
      <w:r>
        <w:t>Sealed roads (surface, pavement, formation; about 1,110 km), unsealed roads (wearing course, formation; about 1,890 km), kerb and gutter (176 km), footpaths and cycleways (121 km), roundabouts, traffic islands and medians, carparks (63), rural culverts (about 1,555), guardrail (about 500 items), bus shelters (about 35), bridges and major culverts (113) and footbridges (14).</w:t>
      </w:r>
    </w:p>
    <w:p>
      <w:pPr>
        <w:pStyle w:val="ListBullet"/>
        <w:spacing w:after="40"/>
      </w:pPr>
      <w:r>
        <w:t>Components per Appendix 2 of the brief; capitalisation thresholds per Appendix 3 (assets below threshold are recorded but flagged not to be valued).</w:t>
      </w:r>
    </w:p>
    <w:p>
      <w:pPr>
        <w:keepNext/>
        <w:spacing w:before="80"/>
      </w:pPr>
      <w:r>
        <w:rPr>
          <w:b/>
        </w:rPr>
        <w:t>Your role (base price)</w:t>
      </w:r>
    </w:p>
    <w:p>
      <w:pPr>
        <w:pStyle w:val="ListBullet"/>
        <w:keepNext/>
        <w:spacing w:after="40"/>
      </w:pPr>
      <w:r>
        <w:t>JCE prepares the valuation: componentisation, current replacement cost unit rates, useful lives, residual values, condition-based remaining lives, calculations and working papers.</w:t>
      </w:r>
    </w:p>
    <w:p>
      <w:pPr>
        <w:pStyle w:val="ListBullet"/>
        <w:keepNext/>
        <w:spacing w:after="40"/>
      </w:pPr>
      <w:r>
        <w:t>You review the methodology before it is applied, review unit rates and useful lives, sample-check the calculations and fair value hierarchy, and sign the valuation report as the qualified valuer, for each year from 2027 to 2031.</w:t>
      </w:r>
    </w:p>
    <w:p>
      <w:pPr>
        <w:pStyle w:val="ListBullet"/>
        <w:spacing w:after="40"/>
      </w:pPr>
      <w:r>
        <w:t>Any change to Council's recorded remaining lives or values must be explained in the report, as Council requires.</w:t>
      </w:r>
    </w:p>
    <w:p>
      <w:pPr>
        <w:keepNext/>
        <w:spacing w:before="80"/>
      </w:pPr>
      <w:r>
        <w:rPr>
          <w:b/>
        </w:rPr>
        <w:t>Alternative (for comparison)</w:t>
      </w:r>
    </w:p>
    <w:p>
      <w:pPr>
        <w:pStyle w:val="ListBullet"/>
        <w:spacing w:after="40"/>
      </w:pPr>
      <w:r>
        <w:t>You prepare the full Year 1 comprehensive valuation from JCE's condition and quantity data. Please price this separately so JCE can compare.</w:t>
      </w:r>
    </w:p>
    <w:p>
      <w:pPr>
        <w:keepNext/>
        <w:spacing w:before="200"/>
      </w:pPr>
      <w:r>
        <w:rPr>
          <w:b/>
          <w:color w:val="1F3A5F"/>
          <w:sz w:val="23"/>
        </w:rPr>
        <w:t>3.0   Deliverables and formats</w:t>
      </w:r>
    </w:p>
    <w:p>
      <w:pPr>
        <w:pStyle w:val="ListBullet"/>
        <w:keepNext/>
        <w:spacing w:after="40"/>
      </w:pPr>
      <w:r>
        <w:t>Methodology review comments (Year 1, before field work ends).</w:t>
      </w:r>
    </w:p>
    <w:p>
      <w:pPr>
        <w:pStyle w:val="ListBullet"/>
        <w:keepNext/>
        <w:spacing w:after="40"/>
      </w:pPr>
      <w:r>
        <w:t>Review comments on unit rates, useful lives and calculations.</w:t>
      </w:r>
    </w:p>
    <w:p>
      <w:pPr>
        <w:pStyle w:val="ListBullet"/>
        <w:spacing w:after="40"/>
      </w:pPr>
      <w:r>
        <w:t>Signed valuation summary report and methodology (Word and PDF) each year, suitable for Council's auditors.</w:t>
      </w:r>
    </w:p>
    <w:p>
      <w:pPr>
        <w:keepNext/>
        <w:spacing w:before="200"/>
      </w:pPr>
      <w:r>
        <w:rPr>
          <w:b/>
          <w:color w:val="1F3A5F"/>
          <w:sz w:val="23"/>
        </w:rPr>
        <w:t>4.0   Program</w:t>
      </w:r>
    </w:p>
    <w:p>
      <w:pPr>
        <w:keepNext/>
      </w:pPr>
      <w:r>
        <w:rPr>
          <w:b w:val="0"/>
        </w:rPr>
        <w:t>Program for the valuation as at 30/06/2027, assuming award on 11/12/2026:</w:t>
      </w:r>
    </w:p>
    <w:tbl>
      <w:tblPr>
        <w:tblStyle w:val="TableGrid"/>
        <w:tblW w:type="auto" w:w="0"/>
        <w:jc w:val="center"/>
        <w:tblLayout w:type="fixed"/>
        <w:tblLook w:firstColumn="1" w:firstRow="1" w:lastColumn="0" w:lastRow="0" w:noHBand="0" w:noVBand="1" w:val="04A0"/>
      </w:tblPr>
      <w:tblGrid>
        <w:gridCol w:w="6236"/>
        <w:gridCol w:w="3402"/>
      </w:tblGrid>
      <w:tr>
        <w:trPr>
          <w:tblHeader/>
          <w:cantSplit/>
        </w:trPr>
        <w:tc>
          <w:tcPr>
            <w:tcW w:type="dxa" w:w="6236"/>
            <w:shd w:val="clear" w:color="auto" w:fill="1F3A5F"/>
          </w:tcPr>
          <w:p>
            <w:pPr>
              <w:keepNext/>
              <w:spacing w:after="20"/>
            </w:pPr>
            <w:r>
              <w:rPr>
                <w:b/>
                <w:color w:val="FFFFFF"/>
                <w:sz w:val="18"/>
              </w:rPr>
              <w:t>Milestone</w:t>
            </w:r>
          </w:p>
        </w:tc>
        <w:tc>
          <w:tcPr>
            <w:tcW w:type="dxa" w:w="3402"/>
            <w:shd w:val="clear" w:color="auto" w:fill="1F3A5F"/>
          </w:tcPr>
          <w:p>
            <w:pPr>
              <w:keepNext/>
              <w:spacing w:after="20"/>
            </w:pPr>
            <w:r>
              <w:rPr>
                <w:b/>
                <w:color w:val="FFFFFF"/>
                <w:sz w:val="18"/>
              </w:rPr>
              <w:t>Date</w:t>
            </w:r>
          </w:p>
        </w:tc>
      </w:tr>
      <w:tr>
        <w:trPr>
          <w:cantSplit/>
        </w:trPr>
        <w:tc>
          <w:tcPr>
            <w:tcW w:type="dxa" w:w="6236"/>
          </w:tcPr>
          <w:p>
            <w:pPr>
              <w:keepNext/>
              <w:spacing w:after="20"/>
            </w:pPr>
            <w:r>
              <w:rPr>
                <w:sz w:val="18"/>
              </w:rPr>
              <w:t>Quote due</w:t>
            </w:r>
          </w:p>
        </w:tc>
        <w:tc>
          <w:tcPr>
            <w:tcW w:type="dxa" w:w="3402"/>
          </w:tcPr>
          <w:p>
            <w:pPr>
              <w:keepNext/>
              <w:spacing w:after="20"/>
            </w:pPr>
            <w:r>
              <w:rPr>
                <w:sz w:val="18"/>
              </w:rPr>
              <w:t>12:00 pm, Wednesday 28/10/2026</w:t>
            </w:r>
          </w:p>
        </w:tc>
      </w:tr>
      <w:tr>
        <w:trPr>
          <w:cantSplit/>
        </w:trPr>
        <w:tc>
          <w:tcPr>
            <w:tcW w:type="dxa" w:w="6236"/>
          </w:tcPr>
          <w:p>
            <w:pPr>
              <w:keepNext/>
              <w:spacing w:after="20"/>
            </w:pPr>
            <w:r>
              <w:rPr>
                <w:sz w:val="18"/>
              </w:rPr>
              <w:t>Tender closes</w:t>
            </w:r>
          </w:p>
        </w:tc>
        <w:tc>
          <w:tcPr>
            <w:tcW w:type="dxa" w:w="3402"/>
          </w:tcPr>
          <w:p>
            <w:pPr>
              <w:keepNext/>
              <w:spacing w:after="20"/>
            </w:pPr>
            <w:r>
              <w:rPr>
                <w:sz w:val="18"/>
              </w:rPr>
              <w:t>2:00 pm, Friday 13/11/2026</w:t>
            </w:r>
          </w:p>
        </w:tc>
      </w:tr>
      <w:tr>
        <w:trPr>
          <w:cantSplit/>
        </w:trPr>
        <w:tc>
          <w:tcPr>
            <w:tcW w:type="dxa" w:w="6236"/>
          </w:tcPr>
          <w:p>
            <w:pPr>
              <w:keepNext/>
              <w:spacing w:after="20"/>
            </w:pPr>
            <w:r>
              <w:rPr>
                <w:sz w:val="18"/>
              </w:rPr>
              <w:t>Award (Council's expected decision date)</w:t>
            </w:r>
          </w:p>
        </w:tc>
        <w:tc>
          <w:tcPr>
            <w:tcW w:type="dxa" w:w="3402"/>
          </w:tcPr>
          <w:p>
            <w:pPr>
              <w:keepNext/>
              <w:spacing w:after="20"/>
            </w:pPr>
            <w:r>
              <w:rPr>
                <w:sz w:val="18"/>
              </w:rPr>
              <w:t>Friday 11/12/2026</w:t>
            </w:r>
          </w:p>
        </w:tc>
      </w:tr>
      <w:tr>
        <w:trPr>
          <w:cantSplit/>
        </w:trPr>
        <w:tc>
          <w:tcPr>
            <w:tcW w:type="dxa" w:w="6236"/>
          </w:tcPr>
          <w:p>
            <w:pPr>
              <w:keepNext/>
              <w:spacing w:after="20"/>
            </w:pPr>
            <w:r>
              <w:rPr>
                <w:sz w:val="18"/>
              </w:rPr>
              <w:t>Methodology to you for review</w:t>
            </w:r>
          </w:p>
        </w:tc>
        <w:tc>
          <w:tcPr>
            <w:tcW w:type="dxa" w:w="3402"/>
          </w:tcPr>
          <w:p>
            <w:pPr>
              <w:keepNext/>
              <w:spacing w:after="20"/>
            </w:pPr>
            <w:r>
              <w:rPr>
                <w:sz w:val="18"/>
              </w:rPr>
              <w:t>Friday 22/01/2027</w:t>
            </w:r>
          </w:p>
        </w:tc>
      </w:tr>
      <w:tr>
        <w:trPr>
          <w:cantSplit/>
        </w:trPr>
        <w:tc>
          <w:tcPr>
            <w:tcW w:type="dxa" w:w="6236"/>
          </w:tcPr>
          <w:p>
            <w:pPr>
              <w:keepNext/>
              <w:spacing w:after="20"/>
            </w:pPr>
            <w:r>
              <w:rPr>
                <w:sz w:val="18"/>
              </w:rPr>
              <w:t>Unit rates and useful lives to you</w:t>
            </w:r>
          </w:p>
        </w:tc>
        <w:tc>
          <w:tcPr>
            <w:tcW w:type="dxa" w:w="3402"/>
          </w:tcPr>
          <w:p>
            <w:pPr>
              <w:keepNext/>
              <w:spacing w:after="20"/>
            </w:pPr>
            <w:r>
              <w:rPr>
                <w:sz w:val="18"/>
              </w:rPr>
              <w:t>Friday 26/03/2027</w:t>
            </w:r>
          </w:p>
        </w:tc>
      </w:tr>
      <w:tr>
        <w:trPr>
          <w:cantSplit/>
        </w:trPr>
        <w:tc>
          <w:tcPr>
            <w:tcW w:type="dxa" w:w="6236"/>
          </w:tcPr>
          <w:p>
            <w:pPr>
              <w:keepNext/>
              <w:spacing w:after="20"/>
            </w:pPr>
            <w:r>
              <w:rPr>
                <w:sz w:val="18"/>
              </w:rPr>
              <w:t>Draft valuation to you</w:t>
            </w:r>
          </w:p>
        </w:tc>
        <w:tc>
          <w:tcPr>
            <w:tcW w:type="dxa" w:w="3402"/>
          </w:tcPr>
          <w:p>
            <w:pPr>
              <w:keepNext/>
              <w:spacing w:after="20"/>
            </w:pPr>
            <w:r>
              <w:rPr>
                <w:sz w:val="18"/>
              </w:rPr>
              <w:t>Friday 21/05/2027</w:t>
            </w:r>
          </w:p>
        </w:tc>
      </w:tr>
      <w:tr>
        <w:trPr>
          <w:cantSplit/>
        </w:trPr>
        <w:tc>
          <w:tcPr>
            <w:tcW w:type="dxa" w:w="6236"/>
          </w:tcPr>
          <w:p>
            <w:pPr>
              <w:keepNext/>
              <w:spacing w:after="20"/>
            </w:pPr>
            <w:r>
              <w:rPr>
                <w:sz w:val="18"/>
              </w:rPr>
              <w:t>Signed final report</w:t>
            </w:r>
          </w:p>
        </w:tc>
        <w:tc>
          <w:tcPr>
            <w:tcW w:type="dxa" w:w="3402"/>
          </w:tcPr>
          <w:p>
            <w:pPr>
              <w:keepNext/>
              <w:spacing w:after="20"/>
            </w:pPr>
            <w:r>
              <w:rPr>
                <w:sz w:val="18"/>
              </w:rPr>
              <w:t>Friday 25/06/2027</w:t>
            </w:r>
          </w:p>
        </w:tc>
      </w:tr>
      <w:tr>
        <w:trPr>
          <w:cantSplit/>
        </w:trPr>
        <w:tc>
          <w:tcPr>
            <w:tcW w:type="dxa" w:w="6236"/>
          </w:tcPr>
          <w:p>
            <w:pPr>
              <w:spacing w:after="20"/>
            </w:pPr>
            <w:r>
              <w:rPr>
                <w:sz w:val="18"/>
              </w:rPr>
              <w:t>Rolling valuations 2028 to 2031</w:t>
            </w:r>
          </w:p>
        </w:tc>
        <w:tc>
          <w:tcPr>
            <w:tcW w:type="dxa" w:w="3402"/>
          </w:tcPr>
          <w:p>
            <w:pPr>
              <w:spacing w:after="20"/>
            </w:pPr>
            <w:r>
              <w:rPr>
                <w:sz w:val="18"/>
              </w:rPr>
              <w:t>Draft by end of May; signed by 30 June each year</w:t>
            </w:r>
          </w:p>
        </w:tc>
      </w:tr>
    </w:tbl>
    <w:p>
      <w:pPr>
        <w:spacing w:after="0"/>
      </w:pPr>
    </w:p>
    <w:p>
      <w:r>
        <w:rPr>
          <w:b w:val="0"/>
        </w:rPr>
        <w:t>Please confirm you can meet these dates and state the staff, crews and vehicles you will commit in each period.</w:t>
      </w:r>
    </w:p>
    <w:p>
      <w:pPr>
        <w:keepNext/>
        <w:spacing w:before="200"/>
      </w:pPr>
      <w:r>
        <w:rPr>
          <w:b/>
          <w:color w:val="1F3A5F"/>
          <w:sz w:val="23"/>
        </w:rPr>
        <w:t>5.0   Information provided</w:t>
      </w:r>
    </w:p>
    <w:p>
      <w:pPr>
        <w:pStyle w:val="ListBullet"/>
        <w:keepNext/>
        <w:spacing w:after="40"/>
      </w:pPr>
      <w:r>
        <w:t>Council's Project Brief (MRC-2645_Project_Brief.pdf).</w:t>
      </w:r>
    </w:p>
    <w:p>
      <w:pPr>
        <w:pStyle w:val="ListBullet"/>
        <w:keepNext/>
        <w:spacing w:after="40"/>
      </w:pPr>
      <w:r>
        <w:t>Council's asset data template (MRC-2645_asset_data_schema-data_template_August_2026.xlsx).</w:t>
      </w:r>
    </w:p>
    <w:p>
      <w:pPr>
        <w:pStyle w:val="ListBullet"/>
        <w:spacing w:after="40"/>
      </w:pPr>
      <w:r>
        <w:t>Council's Conditions of Tender and draft Consultancy Services Agreement, from JCE on request.</w:t>
      </w:r>
    </w:p>
    <w:p>
      <w:pPr>
        <w:keepNext/>
        <w:spacing w:before="200"/>
      </w:pPr>
      <w:r>
        <w:rPr>
          <w:b/>
          <w:color w:val="1F3A5F"/>
          <w:sz w:val="23"/>
        </w:rPr>
        <w:t>6.0   Insurance, WHS and quality requirements</w:t>
      </w:r>
    </w:p>
    <w:p>
      <w:pPr>
        <w:keepNext/>
      </w:pPr>
      <w:r>
        <w:rPr>
          <w:b/>
        </w:rPr>
        <w:t xml:space="preserve">Insurance. </w:t>
      </w:r>
      <w:r>
        <w:rPr>
          <w:b w:val="0"/>
        </w:rPr>
        <w:t>Item 18 of Council's draft Consultancy Services Agreement sets these minimums, which JCE will pass down to its subconsultants:</w:t>
      </w:r>
    </w:p>
    <w:p>
      <w:pPr>
        <w:pStyle w:val="ListBullet"/>
        <w:keepNext/>
        <w:spacing w:after="40"/>
      </w:pPr>
      <w:r>
        <w:t>Professional indemnity insurance of at least $5 million for each subconsultant (Item 18(c)), kept in force until seven years after Completion of the services (clause 14.1).</w:t>
      </w:r>
    </w:p>
    <w:p>
      <w:pPr>
        <w:pStyle w:val="ListBullet"/>
        <w:keepNext/>
        <w:spacing w:after="40"/>
      </w:pPr>
      <w:r>
        <w:t>Public liability insurance of at least $20 million for any one occurrence (Item 18(a)). The Agreement requires the public liability policy to cover all subconsultants unless Council approves otherwise, so please state your own cover.</w:t>
      </w:r>
    </w:p>
    <w:p>
      <w:pPr>
        <w:pStyle w:val="ListBullet"/>
        <w:keepNext/>
        <w:spacing w:after="40"/>
      </w:pPr>
      <w:r>
        <w:t>Workers compensation insurance as required by law (clause 14.1).</w:t>
      </w:r>
    </w:p>
    <w:p>
      <w:pPr>
        <w:pStyle w:val="ListBullet"/>
        <w:spacing w:after="40"/>
      </w:pPr>
      <w:r>
        <w:t>Comprehensive motor vehicle insurance for project vehicles (JCE requirement).</w:t>
      </w:r>
    </w:p>
    <w:p>
      <w:r>
        <w:rPr>
          <w:b w:val="0"/>
        </w:rPr>
        <w:t>Please state your insurer, levels of cover and expiry dates, and attach current certificates of currency.</w:t>
      </w:r>
    </w:p>
    <w:p>
      <w:r>
        <w:rPr>
          <w:b/>
        </w:rPr>
        <w:t xml:space="preserve">Work health and safety. </w:t>
      </w:r>
      <w:r>
        <w:rPr>
          <w:b w:val="0"/>
        </w:rPr>
        <w:t>A documented WHS system; SWMS and a site-specific safety plan, which are Council hold points before any site work; Council WHS induction before site access; AS 4602 high-visibility clothing and AS 2210 footwear. No road or bridge closures without Council agreement. Council may audit site work without notice.</w:t>
      </w:r>
    </w:p>
    <w:p>
      <w:r>
        <w:rPr>
          <w:b/>
        </w:rPr>
        <w:t xml:space="preserve">Quality and ISO 9001. </w:t>
      </w:r>
      <w:r>
        <w:rPr>
          <w:b w:val="0"/>
        </w:rPr>
        <w:t>Item 12 of the Agreement names ISO 9001 as the quality system. Please state your ISO 9001 status: whether you hold third-party ISO 9001 certification (certifier, certificate number and expiry), or, if not, the documented quality system you use. Please also describe your QA checks for this work.</w:t>
      </w:r>
    </w:p>
    <w:p>
      <w:r>
        <w:rPr>
          <w:b/>
        </w:rPr>
        <w:t xml:space="preserve">Payment. </w:t>
      </w:r>
      <w:r>
        <w:rPr>
          <w:b w:val="0"/>
        </w:rPr>
        <w:t>Council pays the Lead Consultant against milestones each year: mobilisation 20%, inspections complete 30%, draft data 25%, draft report 15%, final data and report 10%. JCE will pay you on the same milestones.</w:t>
      </w:r>
    </w:p>
    <w:p>
      <w:pPr>
        <w:keepNext/>
        <w:spacing w:before="200"/>
      </w:pPr>
      <w:r>
        <w:rPr>
          <w:b/>
          <w:color w:val="1F3A5F"/>
          <w:sz w:val="23"/>
        </w:rPr>
        <w:t>7.0   Relevant experience and referees</w:t>
      </w:r>
    </w:p>
    <w:p>
      <w:pPr>
        <w:keepNext/>
      </w:pPr>
      <w:r>
        <w:rPr>
          <w:b w:val="0"/>
        </w:rPr>
        <w:t>Council scores Resources and Relevant Experience at 20% of the evaluation and asks for at least three similar projects with referees (Schedule 5). JCE has asked Council to confirm that partner staff, projects and referees are assessed. Your experience will carry much of this score, so please provide:</w:t>
      </w:r>
    </w:p>
    <w:p>
      <w:pPr>
        <w:pStyle w:val="ListBullet"/>
        <w:keepNext w:val="0"/>
        <w:spacing w:after="40"/>
      </w:pPr>
      <w:r>
        <w:t>The name and CV of the valuer who signs, with qualifications (for example API Certified Practising Valuer, FAPI or MRICS) and NSW local government infrastructure valuation experience.</w:t>
      </w:r>
    </w:p>
    <w:p>
      <w:pPr>
        <w:pStyle w:val="ListBullet"/>
        <w:keepNext w:val="0"/>
        <w:spacing w:after="40"/>
      </w:pPr>
      <w:r>
        <w:t>Two or three comparable NSW council transport or bridge valuations in the last five years, ideally including councils that have passed audit with your report.</w:t>
      </w:r>
    </w:p>
    <w:p>
      <w:pPr>
        <w:pStyle w:val="ListBullet"/>
        <w:keepNext w:val="0"/>
        <w:spacing w:after="40"/>
      </w:pPr>
      <w:r>
        <w:t>For each project: client, location, scope and quantities, year, contract value, your role, and a referee (name, position, phone and email) who has agreed to be contacted.</w:t>
      </w:r>
    </w:p>
    <w:p>
      <w:pPr>
        <w:pStyle w:val="ListBullet"/>
        <w:keepNext w:val="0"/>
        <w:spacing w:after="40"/>
      </w:pPr>
      <w:r>
        <w:t>Your permission for JCE to name your firm and key staff in its tender and to include the projects and referees you provide.</w:t>
      </w:r>
    </w:p>
    <w:p>
      <w:pPr>
        <w:pStyle w:val="ListBullet"/>
        <w:spacing w:after="40"/>
      </w:pPr>
      <w:r>
        <w:t>Local content (5% of the evaluation): any staff, office, depot, suppliers or accommodation spend in the Murray River LGA or the nearby cross-border towns, for example Echuca or Swan Hill.</w:t>
      </w:r>
    </w:p>
    <w:p>
      <w:pPr>
        <w:keepNext/>
        <w:spacing w:before="200"/>
      </w:pPr>
      <w:r>
        <w:rPr>
          <w:b/>
          <w:color w:val="1F3A5F"/>
          <w:sz w:val="23"/>
        </w:rPr>
        <w:t>8.0   Pricing schedule</w:t>
      </w:r>
    </w:p>
    <w:p>
      <w:pPr>
        <w:keepNext/>
      </w:pPr>
      <w:r>
        <w:rPr>
          <w:b w:val="0"/>
        </w:rPr>
        <w:t>Please price in Australian dollars, excluding GST. Each lump sum includes all labour, plant, travel, accommodation, processing and expenses. The 2028 to 2031 prices are lump sums for each year and include your escalation and an allowance for nominal network growth, as Council requires. JCE adds its own margin, so please do not include one for JCE.</w:t>
      </w:r>
    </w:p>
    <w:p>
      <w:pPr>
        <w:keepNext/>
        <w:spacing w:before="80"/>
      </w:pPr>
      <w:r>
        <w:rPr>
          <w:b/>
        </w:rPr>
        <w:t>A. Lump sums by item and asset class</w:t>
      </w:r>
    </w:p>
    <w:tbl>
      <w:tblPr>
        <w:tblStyle w:val="TableGrid"/>
        <w:tblW w:type="auto" w:w="0"/>
        <w:jc w:val="center"/>
        <w:tblLayout w:type="fixed"/>
        <w:tblLook w:firstColumn="1" w:firstRow="1" w:lastColumn="0" w:lastRow="0" w:noHBand="0" w:noVBand="1" w:val="04A0"/>
      </w:tblPr>
      <w:tblGrid>
        <w:gridCol w:w="737"/>
        <w:gridCol w:w="4252"/>
        <w:gridCol w:w="907"/>
        <w:gridCol w:w="850"/>
        <w:gridCol w:w="1361"/>
        <w:gridCol w:w="1531"/>
      </w:tblGrid>
      <w:tr>
        <w:trPr>
          <w:tblHeader/>
          <w:cantSplit/>
        </w:trPr>
        <w:tc>
          <w:tcPr>
            <w:tcW w:type="dxa" w:w="737"/>
            <w:shd w:val="clear" w:color="auto" w:fill="1F3A5F"/>
          </w:tcPr>
          <w:p>
            <w:pPr>
              <w:keepNext/>
              <w:spacing w:after="20"/>
            </w:pPr>
            <w:r>
              <w:rPr>
                <w:b/>
                <w:color w:val="FFFFFF"/>
                <w:sz w:val="18"/>
              </w:rPr>
              <w:t>Item</w:t>
            </w:r>
          </w:p>
        </w:tc>
        <w:tc>
          <w:tcPr>
            <w:tcW w:type="dxa" w:w="4252"/>
            <w:shd w:val="clear" w:color="auto" w:fill="1F3A5F"/>
          </w:tcPr>
          <w:p>
            <w:pPr>
              <w:keepNext/>
              <w:spacing w:after="20"/>
            </w:pPr>
            <w:r>
              <w:rPr>
                <w:b/>
                <w:color w:val="FFFFFF"/>
                <w:sz w:val="18"/>
              </w:rPr>
              <w:t>Description</w:t>
            </w:r>
          </w:p>
        </w:tc>
        <w:tc>
          <w:tcPr>
            <w:tcW w:type="dxa" w:w="907"/>
            <w:shd w:val="clear" w:color="auto" w:fill="1F3A5F"/>
          </w:tcPr>
          <w:p>
            <w:pPr>
              <w:keepNext/>
              <w:spacing w:after="20"/>
            </w:pPr>
            <w:r>
              <w:rPr>
                <w:b/>
                <w:color w:val="FFFFFF"/>
                <w:sz w:val="18"/>
              </w:rPr>
              <w:t>Unit</w:t>
            </w:r>
          </w:p>
        </w:tc>
        <w:tc>
          <w:tcPr>
            <w:tcW w:type="dxa" w:w="850"/>
            <w:shd w:val="clear" w:color="auto" w:fill="1F3A5F"/>
          </w:tcPr>
          <w:p>
            <w:pPr>
              <w:keepNext/>
              <w:spacing w:after="20"/>
            </w:pPr>
            <w:r>
              <w:rPr>
                <w:b/>
                <w:color w:val="FFFFFF"/>
                <w:sz w:val="18"/>
              </w:rPr>
              <w:t>Qty</w:t>
            </w:r>
          </w:p>
        </w:tc>
        <w:tc>
          <w:tcPr>
            <w:tcW w:type="dxa" w:w="1361"/>
            <w:shd w:val="clear" w:color="auto" w:fill="1F3A5F"/>
          </w:tcPr>
          <w:p>
            <w:pPr>
              <w:keepNext/>
              <w:spacing w:after="20"/>
            </w:pPr>
            <w:r>
              <w:rPr>
                <w:b/>
                <w:color w:val="FFFFFF"/>
                <w:sz w:val="18"/>
              </w:rPr>
              <w:t>Rate ($)</w:t>
            </w:r>
          </w:p>
        </w:tc>
        <w:tc>
          <w:tcPr>
            <w:tcW w:type="dxa" w:w="1531"/>
            <w:shd w:val="clear" w:color="auto" w:fill="1F3A5F"/>
          </w:tcPr>
          <w:p>
            <w:pPr>
              <w:keepNext/>
              <w:spacing w:after="20"/>
            </w:pPr>
            <w:r>
              <w:rPr>
                <w:b/>
                <w:color w:val="FFFFFF"/>
                <w:sz w:val="18"/>
              </w:rPr>
              <w:t>Amount ($)</w:t>
            </w:r>
          </w:p>
        </w:tc>
      </w:tr>
      <w:tr>
        <w:trPr>
          <w:cantSplit/>
        </w:trPr>
        <w:tc>
          <w:tcPr>
            <w:tcW w:type="dxa" w:w="737"/>
          </w:tcPr>
          <w:p>
            <w:pPr>
              <w:keepNext/>
              <w:spacing w:after="20"/>
            </w:pPr>
            <w:r>
              <w:rPr>
                <w:sz w:val="18"/>
              </w:rPr>
              <w:t>V1</w:t>
            </w:r>
          </w:p>
        </w:tc>
        <w:tc>
          <w:tcPr>
            <w:tcW w:type="dxa" w:w="4252"/>
          </w:tcPr>
          <w:p>
            <w:pPr>
              <w:keepNext/>
              <w:spacing w:after="20"/>
            </w:pPr>
            <w:r>
              <w:rPr>
                <w:sz w:val="18"/>
              </w:rPr>
              <w:t>Year 1 (2027): methodology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V2</w:t>
            </w:r>
          </w:p>
        </w:tc>
        <w:tc>
          <w:tcPr>
            <w:tcW w:type="dxa" w:w="4252"/>
          </w:tcPr>
          <w:p>
            <w:pPr>
              <w:keepNext/>
              <w:spacing w:after="20"/>
            </w:pPr>
            <w:r>
              <w:rPr>
                <w:sz w:val="18"/>
              </w:rPr>
              <w:t>Year 1 (2027): review of unit rates and useful lives</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V3</w:t>
            </w:r>
          </w:p>
        </w:tc>
        <w:tc>
          <w:tcPr>
            <w:tcW w:type="dxa" w:w="4252"/>
          </w:tcPr>
          <w:p>
            <w:pPr>
              <w:keepNext/>
              <w:spacing w:after="20"/>
            </w:pPr>
            <w:r>
              <w:rPr>
                <w:sz w:val="18"/>
              </w:rPr>
              <w:t>Year 1 (2027): sample checks and fair value hierarchy review</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V4</w:t>
            </w:r>
          </w:p>
        </w:tc>
        <w:tc>
          <w:tcPr>
            <w:tcW w:type="dxa" w:w="4252"/>
          </w:tcPr>
          <w:p>
            <w:pPr>
              <w:keepNext/>
              <w:spacing w:after="20"/>
            </w:pPr>
            <w:r>
              <w:rPr>
                <w:sz w:val="18"/>
              </w:rPr>
              <w:t>Year 1 (2027): signed comprehensive valuation report as at 30/06/2027</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shd w:val="clear" w:color="auto" w:fill="E8EEF5"/>
          </w:tcPr>
          <w:p>
            <w:pPr>
              <w:keepNext/>
              <w:spacing w:after="20"/>
            </w:pPr>
            <w:r>
              <w:rPr>
                <w:b/>
                <w:sz w:val="18"/>
              </w:rPr>
            </w:r>
          </w:p>
        </w:tc>
        <w:tc>
          <w:tcPr>
            <w:tcW w:type="dxa" w:w="4252"/>
            <w:shd w:val="clear" w:color="auto" w:fill="E8EEF5"/>
          </w:tcPr>
          <w:p>
            <w:pPr>
              <w:keepNext/>
              <w:spacing w:after="20"/>
            </w:pPr>
            <w:r>
              <w:rPr>
                <w:b/>
                <w:sz w:val="18"/>
              </w:rPr>
              <w:t>Total lump sum, Year 1 (2027), V1 to V4</w:t>
            </w:r>
          </w:p>
        </w:tc>
        <w:tc>
          <w:tcPr>
            <w:tcW w:type="dxa" w:w="907"/>
            <w:shd w:val="clear" w:color="auto" w:fill="E8EEF5"/>
          </w:tcPr>
          <w:p>
            <w:pPr>
              <w:keepNext/>
              <w:spacing w:after="20"/>
            </w:pPr>
            <w:r>
              <w:rPr>
                <w:b/>
                <w:sz w:val="18"/>
              </w:rPr>
            </w:r>
          </w:p>
        </w:tc>
        <w:tc>
          <w:tcPr>
            <w:tcW w:type="dxa" w:w="850"/>
            <w:shd w:val="clear" w:color="auto" w:fill="E8EEF5"/>
          </w:tcPr>
          <w:p>
            <w:pPr>
              <w:keepNext/>
              <w:spacing w:after="20"/>
            </w:pPr>
            <w:r>
              <w:rPr>
                <w:b/>
                <w:sz w:val="18"/>
              </w:rPr>
            </w:r>
          </w:p>
        </w:tc>
        <w:tc>
          <w:tcPr>
            <w:tcW w:type="dxa" w:w="1361"/>
            <w:shd w:val="clear" w:color="auto" w:fill="E8EEF5"/>
          </w:tcPr>
          <w:p>
            <w:pPr>
              <w:keepNext/>
              <w:spacing w:after="20"/>
            </w:pPr>
            <w:r>
              <w:rPr>
                <w:b/>
                <w:sz w:val="18"/>
              </w:rPr>
            </w:r>
          </w:p>
        </w:tc>
        <w:tc>
          <w:tcPr>
            <w:tcW w:type="dxa" w:w="1531"/>
            <w:shd w:val="clear" w:color="auto" w:fill="E8EEF5"/>
          </w:tcPr>
          <w:p>
            <w:pPr>
              <w:keepNext/>
              <w:spacing w:after="20"/>
            </w:pPr>
            <w:r>
              <w:rPr>
                <w:b/>
                <w:sz w:val="18"/>
              </w:rPr>
            </w:r>
          </w:p>
        </w:tc>
      </w:tr>
      <w:tr>
        <w:trPr>
          <w:cantSplit/>
        </w:trPr>
        <w:tc>
          <w:tcPr>
            <w:tcW w:type="dxa" w:w="737"/>
          </w:tcPr>
          <w:p>
            <w:pPr>
              <w:keepNext/>
              <w:spacing w:after="20"/>
            </w:pPr>
            <w:r>
              <w:rPr>
                <w:sz w:val="18"/>
              </w:rPr>
              <w:t>Y2</w:t>
            </w:r>
          </w:p>
        </w:tc>
        <w:tc>
          <w:tcPr>
            <w:tcW w:type="dxa" w:w="4252"/>
          </w:tcPr>
          <w:p>
            <w:pPr>
              <w:keepNext/>
              <w:spacing w:after="20"/>
            </w:pPr>
            <w:r>
              <w:rPr>
                <w:sz w:val="18"/>
              </w:rPr>
              <w:t>2028: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Y3</w:t>
            </w:r>
          </w:p>
        </w:tc>
        <w:tc>
          <w:tcPr>
            <w:tcW w:type="dxa" w:w="4252"/>
          </w:tcPr>
          <w:p>
            <w:pPr>
              <w:keepNext/>
              <w:spacing w:after="20"/>
            </w:pPr>
            <w:r>
              <w:rPr>
                <w:sz w:val="18"/>
              </w:rPr>
              <w:t>2029: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Y4</w:t>
            </w:r>
          </w:p>
        </w:tc>
        <w:tc>
          <w:tcPr>
            <w:tcW w:type="dxa" w:w="4252"/>
          </w:tcPr>
          <w:p>
            <w:pPr>
              <w:keepNext/>
              <w:spacing w:after="20"/>
            </w:pPr>
            <w:r>
              <w:rPr>
                <w:sz w:val="18"/>
              </w:rPr>
              <w:t>2030: review and sign-off of desktop revaluation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keepNext/>
              <w:spacing w:after="20"/>
            </w:pPr>
            <w:r>
              <w:rPr>
                <w:sz w:val="18"/>
              </w:rPr>
              <w:t>Y5</w:t>
            </w:r>
          </w:p>
        </w:tc>
        <w:tc>
          <w:tcPr>
            <w:tcW w:type="dxa" w:w="4252"/>
          </w:tcPr>
          <w:p>
            <w:pPr>
              <w:keepNext/>
              <w:spacing w:after="20"/>
            </w:pPr>
            <w:r>
              <w:rPr>
                <w:sz w:val="18"/>
              </w:rPr>
              <w:t>2031: review and sign-off of comprehensive valuation</w:t>
            </w:r>
          </w:p>
        </w:tc>
        <w:tc>
          <w:tcPr>
            <w:tcW w:type="dxa" w:w="907"/>
          </w:tcPr>
          <w:p>
            <w:pPr>
              <w:keepNext/>
              <w:spacing w:after="20"/>
            </w:pPr>
            <w:r>
              <w:rPr>
                <w:sz w:val="18"/>
              </w:rPr>
              <w:t>lump</w:t>
            </w:r>
          </w:p>
        </w:tc>
        <w:tc>
          <w:tcPr>
            <w:tcW w:type="dxa" w:w="850"/>
          </w:tcPr>
          <w:p>
            <w:pPr>
              <w:keepNext/>
              <w:spacing w:after="20"/>
            </w:pPr>
            <w:r>
              <w:rPr>
                <w:sz w:val="18"/>
              </w:rPr>
              <w:t>1</w:t>
            </w:r>
          </w:p>
        </w:tc>
        <w:tc>
          <w:tcPr>
            <w:tcW w:type="dxa" w:w="1361"/>
          </w:tcPr>
          <w:p>
            <w:pPr>
              <w:keepNext/>
              <w:spacing w:after="20"/>
            </w:pPr>
            <w:r>
              <w:rPr>
                <w:sz w:val="18"/>
              </w:rPr>
            </w:r>
          </w:p>
        </w:tc>
        <w:tc>
          <w:tcPr>
            <w:tcW w:type="dxa" w:w="1531"/>
          </w:tcPr>
          <w:p>
            <w:pPr>
              <w:keepNext/>
              <w:spacing w:after="20"/>
            </w:pPr>
            <w:r>
              <w:rPr>
                <w:sz w:val="18"/>
              </w:rPr>
            </w:r>
          </w:p>
        </w:tc>
      </w:tr>
      <w:tr>
        <w:trPr>
          <w:cantSplit/>
        </w:trPr>
        <w:tc>
          <w:tcPr>
            <w:tcW w:type="dxa" w:w="737"/>
          </w:tcPr>
          <w:p>
            <w:pPr>
              <w:spacing w:after="20"/>
            </w:pPr>
            <w:r>
              <w:rPr>
                <w:sz w:val="18"/>
              </w:rPr>
              <w:t>ALT</w:t>
            </w:r>
          </w:p>
        </w:tc>
        <w:tc>
          <w:tcPr>
            <w:tcW w:type="dxa" w:w="4252"/>
          </w:tcPr>
          <w:p>
            <w:pPr>
              <w:spacing w:after="20"/>
            </w:pPr>
            <w:r>
              <w:rPr>
                <w:sz w:val="18"/>
              </w:rPr>
              <w:t>Alternative: you prepare the full Year 1 comprehensive valuation from JCE's data (please split by asset class if you can)</w:t>
            </w:r>
          </w:p>
        </w:tc>
        <w:tc>
          <w:tcPr>
            <w:tcW w:type="dxa" w:w="907"/>
          </w:tcPr>
          <w:p>
            <w:pPr>
              <w:spacing w:after="20"/>
            </w:pPr>
            <w:r>
              <w:rPr>
                <w:sz w:val="18"/>
              </w:rPr>
              <w:t>lump</w:t>
            </w:r>
          </w:p>
        </w:tc>
        <w:tc>
          <w:tcPr>
            <w:tcW w:type="dxa" w:w="850"/>
          </w:tcPr>
          <w:p>
            <w:pPr>
              <w:spacing w:after="20"/>
            </w:pPr>
            <w:r>
              <w:rPr>
                <w:sz w:val="18"/>
              </w:rPr>
              <w:t>1</w:t>
            </w:r>
          </w:p>
        </w:tc>
        <w:tc>
          <w:tcPr>
            <w:tcW w:type="dxa" w:w="1361"/>
          </w:tcPr>
          <w:p>
            <w:pPr>
              <w:spacing w:after="20"/>
            </w:pPr>
            <w:r>
              <w:rPr>
                <w:sz w:val="18"/>
              </w:rPr>
            </w:r>
          </w:p>
        </w:tc>
        <w:tc>
          <w:tcPr>
            <w:tcW w:type="dxa" w:w="1531"/>
          </w:tcPr>
          <w:p>
            <w:pPr>
              <w:spacing w:after="20"/>
            </w:pPr>
            <w:r>
              <w:rPr>
                <w:sz w:val="18"/>
              </w:rPr>
            </w:r>
          </w:p>
        </w:tc>
      </w:tr>
    </w:tbl>
    <w:p>
      <w:pPr>
        <w:spacing w:after="0"/>
      </w:pPr>
    </w:p>
    <w:p>
      <w:pPr>
        <w:keepNext/>
        <w:spacing w:before="80"/>
      </w:pPr>
      <w:r>
        <w:rPr>
          <w:b/>
        </w:rPr>
        <w:t>B. Unit rates for added or removed quantities</w:t>
      </w:r>
    </w:p>
    <w:tbl>
      <w:tblPr>
        <w:tblStyle w:val="TableGrid"/>
        <w:tblW w:type="auto" w:w="0"/>
        <w:jc w:val="center"/>
        <w:tblLayout w:type="fixed"/>
        <w:tblLook w:firstColumn="1" w:firstRow="1" w:lastColumn="0" w:lastRow="0" w:noHBand="0" w:noVBand="1" w:val="04A0"/>
      </w:tblPr>
      <w:tblGrid>
        <w:gridCol w:w="737"/>
        <w:gridCol w:w="6123"/>
        <w:gridCol w:w="1361"/>
        <w:gridCol w:w="1417"/>
      </w:tblGrid>
      <w:tr>
        <w:trPr>
          <w:tblHeader/>
          <w:cantSplit/>
        </w:trPr>
        <w:tc>
          <w:tcPr>
            <w:tcW w:type="dxa" w:w="737"/>
            <w:shd w:val="clear" w:color="auto" w:fill="1F3A5F"/>
          </w:tcPr>
          <w:p>
            <w:pPr>
              <w:keepNext/>
              <w:spacing w:after="20"/>
            </w:pPr>
            <w:r>
              <w:rPr>
                <w:b/>
                <w:color w:val="FFFFFF"/>
                <w:sz w:val="18"/>
              </w:rPr>
              <w:t>Item</w:t>
            </w:r>
          </w:p>
        </w:tc>
        <w:tc>
          <w:tcPr>
            <w:tcW w:type="dxa" w:w="6123"/>
            <w:shd w:val="clear" w:color="auto" w:fill="1F3A5F"/>
          </w:tcPr>
          <w:p>
            <w:pPr>
              <w:keepNext/>
              <w:spacing w:after="20"/>
            </w:pPr>
            <w:r>
              <w:rPr>
                <w:b/>
                <w:color w:val="FFFFFF"/>
                <w:sz w:val="18"/>
              </w:rPr>
              <w:t>Description</w:t>
            </w:r>
          </w:p>
        </w:tc>
        <w:tc>
          <w:tcPr>
            <w:tcW w:type="dxa" w:w="1361"/>
            <w:shd w:val="clear" w:color="auto" w:fill="1F3A5F"/>
          </w:tcPr>
          <w:p>
            <w:pPr>
              <w:keepNext/>
              <w:spacing w:after="20"/>
            </w:pPr>
            <w:r>
              <w:rPr>
                <w:b/>
                <w:color w:val="FFFFFF"/>
                <w:sz w:val="18"/>
              </w:rPr>
              <w:t>Unit</w:t>
            </w:r>
          </w:p>
        </w:tc>
        <w:tc>
          <w:tcPr>
            <w:tcW w:type="dxa" w:w="1417"/>
            <w:shd w:val="clear" w:color="auto" w:fill="1F3A5F"/>
          </w:tcPr>
          <w:p>
            <w:pPr>
              <w:keepNext/>
              <w:spacing w:after="20"/>
            </w:pPr>
            <w:r>
              <w:rPr>
                <w:b/>
                <w:color w:val="FFFFFF"/>
                <w:sz w:val="18"/>
              </w:rPr>
              <w:t>Rate ($)</w:t>
            </w:r>
          </w:p>
        </w:tc>
      </w:tr>
      <w:tr>
        <w:trPr>
          <w:cantSplit/>
        </w:trPr>
        <w:tc>
          <w:tcPr>
            <w:tcW w:type="dxa" w:w="737"/>
          </w:tcPr>
          <w:p>
            <w:pPr>
              <w:keepNext/>
              <w:spacing w:after="20"/>
            </w:pPr>
            <w:r>
              <w:rPr>
                <w:sz w:val="18"/>
              </w:rPr>
              <w:t>U1</w:t>
            </w:r>
          </w:p>
        </w:tc>
        <w:tc>
          <w:tcPr>
            <w:tcW w:type="dxa" w:w="6123"/>
          </w:tcPr>
          <w:p>
            <w:pPr>
              <w:keepNext/>
              <w:spacing w:after="20"/>
            </w:pPr>
            <w:r>
              <w:rPr>
                <w:sz w:val="18"/>
              </w:rPr>
              <w:t>Valuation of newly acquired assets listed by Council in rolling years, if not in Y2 to Y5</w:t>
            </w:r>
          </w:p>
        </w:tc>
        <w:tc>
          <w:tcPr>
            <w:tcW w:type="dxa" w:w="1361"/>
          </w:tcPr>
          <w:p>
            <w:pPr>
              <w:keepNext/>
              <w:spacing w:after="20"/>
            </w:pPr>
            <w:r>
              <w:rPr>
                <w:sz w:val="18"/>
              </w:rPr>
              <w:t>each</w:t>
            </w:r>
          </w:p>
        </w:tc>
        <w:tc>
          <w:tcPr>
            <w:tcW w:type="dxa" w:w="1417"/>
          </w:tcPr>
          <w:p>
            <w:pPr>
              <w:keepNext/>
              <w:spacing w:after="20"/>
            </w:pPr>
            <w:r>
              <w:rPr>
                <w:sz w:val="18"/>
              </w:rPr>
            </w:r>
          </w:p>
        </w:tc>
      </w:tr>
      <w:tr>
        <w:trPr>
          <w:cantSplit/>
        </w:trPr>
        <w:tc>
          <w:tcPr>
            <w:tcW w:type="dxa" w:w="737"/>
          </w:tcPr>
          <w:p>
            <w:pPr>
              <w:spacing w:after="20"/>
            </w:pPr>
            <w:r>
              <w:rPr>
                <w:sz w:val="18"/>
              </w:rPr>
              <w:t>U2</w:t>
            </w:r>
          </w:p>
        </w:tc>
        <w:tc>
          <w:tcPr>
            <w:tcW w:type="dxa" w:w="6123"/>
          </w:tcPr>
          <w:p>
            <w:pPr>
              <w:spacing w:after="20"/>
            </w:pPr>
            <w:r>
              <w:rPr>
                <w:sz w:val="18"/>
              </w:rPr>
              <w:t>Attendance at Council or audit meeting</w:t>
            </w:r>
          </w:p>
        </w:tc>
        <w:tc>
          <w:tcPr>
            <w:tcW w:type="dxa" w:w="1361"/>
          </w:tcPr>
          <w:p>
            <w:pPr>
              <w:spacing w:after="20"/>
            </w:pPr>
            <w:r>
              <w:rPr>
                <w:sz w:val="18"/>
              </w:rPr>
              <w:t>each</w:t>
            </w:r>
          </w:p>
        </w:tc>
        <w:tc>
          <w:tcPr>
            <w:tcW w:type="dxa" w:w="1417"/>
          </w:tcPr>
          <w:p>
            <w:pPr>
              <w:spacing w:after="20"/>
            </w:pPr>
            <w:r>
              <w:rPr>
                <w:sz w:val="18"/>
              </w:rPr>
            </w:r>
          </w:p>
        </w:tc>
      </w:tr>
    </w:tbl>
    <w:p>
      <w:pPr>
        <w:spacing w:after="0"/>
      </w:pPr>
    </w:p>
    <w:p>
      <w:pPr>
        <w:keepNext/>
        <w:spacing w:before="80"/>
      </w:pPr>
      <w:r>
        <w:rPr>
          <w:b/>
        </w:rPr>
        <w:t>C. Hourly and day rates for directed additional work</w:t>
      </w:r>
    </w:p>
    <w:tbl>
      <w:tblPr>
        <w:tblStyle w:val="TableGrid"/>
        <w:tblW w:type="auto" w:w="0"/>
        <w:jc w:val="center"/>
        <w:tblLayout w:type="fixed"/>
        <w:tblLook w:firstColumn="1" w:firstRow="1" w:lastColumn="0" w:lastRow="0" w:noHBand="0" w:noVBand="1" w:val="04A0"/>
      </w:tblPr>
      <w:tblGrid>
        <w:gridCol w:w="5102"/>
        <w:gridCol w:w="2268"/>
        <w:gridCol w:w="2268"/>
      </w:tblGrid>
      <w:tr>
        <w:trPr>
          <w:tblHeader/>
          <w:cantSplit/>
        </w:trPr>
        <w:tc>
          <w:tcPr>
            <w:tcW w:type="dxa" w:w="5102"/>
            <w:shd w:val="clear" w:color="auto" w:fill="1F3A5F"/>
          </w:tcPr>
          <w:p>
            <w:pPr>
              <w:keepNext/>
              <w:spacing w:after="20"/>
            </w:pPr>
            <w:r>
              <w:rPr>
                <w:b/>
                <w:color w:val="FFFFFF"/>
                <w:sz w:val="18"/>
              </w:rPr>
              <w:t>Role or resource</w:t>
            </w:r>
          </w:p>
        </w:tc>
        <w:tc>
          <w:tcPr>
            <w:tcW w:type="dxa" w:w="2268"/>
            <w:shd w:val="clear" w:color="auto" w:fill="1F3A5F"/>
          </w:tcPr>
          <w:p>
            <w:pPr>
              <w:keepNext/>
              <w:spacing w:after="20"/>
            </w:pPr>
            <w:r>
              <w:rPr>
                <w:b/>
                <w:color w:val="FFFFFF"/>
                <w:sz w:val="18"/>
              </w:rPr>
              <w:t>Hourly rate ($)</w:t>
            </w:r>
          </w:p>
        </w:tc>
        <w:tc>
          <w:tcPr>
            <w:tcW w:type="dxa" w:w="2268"/>
            <w:shd w:val="clear" w:color="auto" w:fill="1F3A5F"/>
          </w:tcPr>
          <w:p>
            <w:pPr>
              <w:keepNext/>
              <w:spacing w:after="20"/>
            </w:pPr>
            <w:r>
              <w:rPr>
                <w:b/>
                <w:color w:val="FFFFFF"/>
                <w:sz w:val="18"/>
              </w:rPr>
              <w:t>Day rate ($)</w:t>
            </w:r>
          </w:p>
        </w:tc>
      </w:tr>
      <w:tr>
        <w:trPr>
          <w:cantSplit/>
        </w:trPr>
        <w:tc>
          <w:tcPr>
            <w:tcW w:type="dxa" w:w="5102"/>
          </w:tcPr>
          <w:p>
            <w:pPr>
              <w:keepNext/>
              <w:spacing w:after="20"/>
            </w:pPr>
            <w:r>
              <w:rPr>
                <w:sz w:val="18"/>
              </w:rPr>
              <w:t>Director or signing valuer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keepNext/>
              <w:spacing w:after="20"/>
            </w:pPr>
            <w:r>
              <w:rPr>
                <w:sz w:val="18"/>
              </w:rPr>
              <w:t>Senior valuer or asset engineer</w:t>
            </w:r>
          </w:p>
        </w:tc>
        <w:tc>
          <w:tcPr>
            <w:tcW w:type="dxa" w:w="2268"/>
          </w:tcPr>
          <w:p>
            <w:pPr>
              <w:keepNext/>
              <w:spacing w:after="20"/>
            </w:pPr>
            <w:r>
              <w:rPr>
                <w:sz w:val="18"/>
              </w:rPr>
            </w:r>
          </w:p>
        </w:tc>
        <w:tc>
          <w:tcPr>
            <w:tcW w:type="dxa" w:w="2268"/>
          </w:tcPr>
          <w:p>
            <w:pPr>
              <w:keepNext/>
              <w:spacing w:after="20"/>
            </w:pPr>
            <w:r>
              <w:rPr>
                <w:sz w:val="18"/>
              </w:rPr>
            </w:r>
          </w:p>
        </w:tc>
      </w:tr>
      <w:tr>
        <w:trPr>
          <w:cantSplit/>
        </w:trPr>
        <w:tc>
          <w:tcPr>
            <w:tcW w:type="dxa" w:w="5102"/>
          </w:tcPr>
          <w:p>
            <w:pPr>
              <w:spacing w:after="20"/>
            </w:pPr>
            <w:r>
              <w:rPr>
                <w:sz w:val="18"/>
              </w:rPr>
              <w:t>Analyst</w:t>
            </w:r>
          </w:p>
        </w:tc>
        <w:tc>
          <w:tcPr>
            <w:tcW w:type="dxa" w:w="2268"/>
          </w:tcPr>
          <w:p>
            <w:pPr>
              <w:spacing w:after="20"/>
            </w:pPr>
            <w:r>
              <w:rPr>
                <w:sz w:val="18"/>
              </w:rPr>
            </w:r>
          </w:p>
        </w:tc>
        <w:tc>
          <w:tcPr>
            <w:tcW w:type="dxa" w:w="2268"/>
          </w:tcPr>
          <w:p>
            <w:pPr>
              <w:spacing w:after="20"/>
            </w:pPr>
            <w:r>
              <w:rPr>
                <w:sz w:val="18"/>
              </w:rPr>
            </w:r>
          </w:p>
        </w:tc>
      </w:tr>
    </w:tbl>
    <w:p>
      <w:pPr>
        <w:spacing w:after="0"/>
      </w:pPr>
    </w:p>
    <w:p>
      <w:r>
        <w:rPr>
          <w:b/>
        </w:rPr>
        <w:t xml:space="preserve">Exclusions and assumptions. </w:t>
      </w:r>
      <w:r>
        <w:rPr>
          <w:b w:val="0"/>
        </w:rPr>
        <w:t>Please list them. Council treats qualifications in a tender as non-conforming, so keep them few and plain.</w:t>
      </w:r>
    </w:p>
    <w:p>
      <w:r>
        <w:rPr>
          <w:b/>
        </w:rPr>
        <w:t xml:space="preserve">Validity. </w:t>
      </w:r>
      <w:r>
        <w:rPr>
          <w:b w:val="0"/>
        </w:rPr>
        <w:t>Please hold your prices for 90 days from the quote due date, that is to 26/01/2027. Council requires JCE's tender to stay open for 60 days after the 13/11/2026 close.</w:t>
      </w:r>
    </w:p>
    <w:p>
      <w:pPr>
        <w:keepNext/>
        <w:spacing w:before="200"/>
      </w:pPr>
      <w:r>
        <w:rPr>
          <w:b/>
          <w:color w:val="1F3A5F"/>
          <w:sz w:val="23"/>
        </w:rPr>
        <w:t>9.0   Confidentiality</w:t>
      </w:r>
    </w:p>
    <w:p>
      <w:r>
        <w:rPr>
          <w:b w:val="0"/>
        </w:rPr>
        <w:t>This request, Council's documents and any JCE pricing are confidential and are provided only for preparing your quotation. Please do not share them or use them for any other purpose, and delete them if you do not quote or if JCE is unsuccessful. If JCE is successful, clause 6.4 of the Agreement binds subconsultants to keep Council's information confidential, and Council data must not be kept after completion without Council's written consent. JCE will keep your pricing confidential and use it only for this tender.</w:t>
      </w:r>
    </w:p>
    <w:p>
      <w:pPr>
        <w:keepNext/>
        <w:spacing w:before="200"/>
      </w:pPr>
      <w:r>
        <w:rPr>
          <w:b/>
          <w:color w:val="1F3A5F"/>
          <w:sz w:val="23"/>
        </w:rPr>
        <w:t>10.0   Independence and conflict of interest</w:t>
      </w:r>
    </w:p>
    <w:p>
      <w:pPr>
        <w:keepNext/>
      </w:pPr>
      <w:r>
        <w:rPr>
          <w:b w:val="0"/>
        </w:rPr>
        <w:t>Council requires tenderers to declare any actual or potential conflict of interest (Conditions of Tender clause 4.1 and Schedule 9). Please tell us in your quotation:</w:t>
      </w:r>
    </w:p>
    <w:p>
      <w:pPr>
        <w:pStyle w:val="ListBullet"/>
        <w:keepNext/>
        <w:spacing w:after="40"/>
      </w:pPr>
      <w:r>
        <w:t>whether you are tendering for MRC-2645 yourself or quoting to other tenderers (this does not rule you out, but JCE needs to know, and JCE's documents must not be shared with them);</w:t>
      </w:r>
    </w:p>
    <w:p>
      <w:pPr>
        <w:pStyle w:val="ListBullet"/>
        <w:keepNext/>
        <w:spacing w:after="40"/>
      </w:pPr>
      <w:r>
        <w:t>any current or past work for Murray River Council on these assets, including the previous inspection and valuation cycle; and</w:t>
      </w:r>
    </w:p>
    <w:p>
      <w:pPr>
        <w:pStyle w:val="ListBullet"/>
        <w:spacing w:after="40"/>
      </w:pPr>
      <w:r>
        <w:t>any relationship with Council staff or Councillors that should be declared.</w:t>
      </w:r>
    </w:p>
    <w:p>
      <w:pPr>
        <w:keepNext/>
        <w:spacing w:before="200"/>
      </w:pPr>
      <w:r>
        <w:rPr>
          <w:b/>
          <w:color w:val="1F3A5F"/>
          <w:sz w:val="23"/>
        </w:rPr>
        <w:t>11.0   Basis of engagement</w:t>
      </w:r>
    </w:p>
    <w:p>
      <w:pPr>
        <w:pStyle w:val="ListBullet"/>
        <w:keepNext/>
        <w:spacing w:after="40"/>
      </w:pPr>
      <w:r>
        <w:t>Your engagement depends on Council awarding the contract to JCE and approving you as a subconsultant (clause 8 of the Agreement requires Council's prior written approval). This request is not an engagement, and JCE does not pay for preparing quotations.</w:t>
      </w:r>
    </w:p>
    <w:p>
      <w:pPr>
        <w:pStyle w:val="ListBullet"/>
        <w:spacing w:after="40"/>
      </w:pPr>
      <w:r>
        <w:t>If JCE is successful, JCE will engage you on a subconsultancy agreement that passes down the relevant terms of Council's Agreement, including insurance, WHS, confidentiality, records and payment on Council's milestones. Council expects to decide by 11/12/2026.</w:t>
      </w:r>
    </w:p>
    <w:p>
      <w:pPr>
        <w:keepNext/>
        <w:spacing w:before="200"/>
      </w:pPr>
      <w:r>
        <w:rPr>
          <w:b/>
          <w:color w:val="1F3A5F"/>
          <w:sz w:val="23"/>
        </w:rPr>
        <w:t>12.0   How to respond</w:t>
      </w:r>
    </w:p>
    <w:p>
      <w:pPr>
        <w:keepNext/>
      </w:pPr>
      <w:r>
        <w:rPr>
          <w:b w:val="0"/>
        </w:rPr>
        <w:t>Please email your quotation to jayden@jceinfrastructure.com.au by 12:00 pm, Wednesday 28/10/2026, with:</w:t>
      </w:r>
    </w:p>
    <w:p>
      <w:pPr>
        <w:pStyle w:val="ListBullet"/>
        <w:keepNext/>
        <w:spacing w:after="40"/>
      </w:pPr>
      <w:r>
        <w:t>the completed pricing schedule (parts A to C), exclusions and assumptions;</w:t>
      </w:r>
    </w:p>
    <w:p>
      <w:pPr>
        <w:pStyle w:val="ListBullet"/>
        <w:keepNext/>
        <w:spacing w:after="40"/>
      </w:pPr>
      <w:r>
        <w:t>a short methodology for your scope, including equipment and access;</w:t>
      </w:r>
    </w:p>
    <w:p>
      <w:pPr>
        <w:pStyle w:val="ListBullet"/>
        <w:keepNext/>
        <w:spacing w:after="40"/>
      </w:pPr>
      <w:r>
        <w:t>company profile, key staff CVs, three similar projects with referees, and your conflict of interest statement;</w:t>
      </w:r>
    </w:p>
    <w:p>
      <w:pPr>
        <w:pStyle w:val="ListBullet"/>
        <w:spacing w:after="40"/>
      </w:pPr>
      <w:r>
        <w:t>certificates of currency for the insurances in section 6.0.</w:t>
      </w:r>
    </w:p>
    <w:p>
      <w:r>
        <w:rPr>
          <w:b w:val="0"/>
        </w:rPr>
        <w:t>Please confirm by Monday 19/10/2026 whether you will quote. Questions are welcome by phone on 0477 207 027 or by email. Questions received by 12:00 pm, Wednesday 21/10/2026 can still be put to Council if needed.</w:t>
      </w:r>
    </w:p>
    <w:p>
      <w:pPr>
        <w:keepNext/>
        <w:spacing w:before="160"/>
      </w:pPr>
      <w:r>
        <w:rPr>
          <w:b w:val="0"/>
        </w:rPr>
        <w:t>Yours faithfully,</w:t>
      </w:r>
    </w:p>
    <w:p>
      <w:pPr>
        <w:keepNext/>
        <w:spacing w:after="280"/>
      </w:pPr>
      <w:r>
        <w:rPr>
          <w:b w:val="0"/>
        </w:rPr>
      </w:r>
    </w:p>
    <w:p>
      <w:pPr>
        <w:keepNext/>
        <w:spacing w:after="0"/>
      </w:pPr>
      <w:r>
        <w:rPr>
          <w:b/>
        </w:rPr>
        <w:t>Jayden Callen</w:t>
      </w:r>
    </w:p>
    <w:p>
      <w:pPr>
        <w:keepNext/>
        <w:spacing w:after="0"/>
      </w:pPr>
      <w:r>
        <w:rPr>
          <w:b w:val="0"/>
        </w:rPr>
        <w:t>Director</w:t>
      </w:r>
    </w:p>
    <w:p>
      <w:pPr>
        <w:keepNext/>
        <w:spacing w:after="0"/>
      </w:pPr>
      <w:r>
        <w:rPr>
          <w:b w:val="0"/>
        </w:rPr>
        <w:t>JCE Infrastructure Pty Ltd   |   ABN 29 699 165 663</w:t>
      </w:r>
    </w:p>
    <w:p>
      <w:pPr>
        <w:spacing w:after="0"/>
      </w:pPr>
      <w:r>
        <w:rPr>
          <w:b w:val="0"/>
        </w:rPr>
        <w:t>0477 207 027   |   jayden@jceinfrastructure.com.au</w:t>
      </w:r>
    </w:p>
    <w:sectPr w:rsidR="00FC693F" w:rsidRPr="0006063C" w:rsidSect="00034616">
      <w:headerReference w:type="default" r:id="rId9"/>
      <w:footerReference w:type="default" r:id="rId10"/>
      <w:pgSz w:w="11906" w:h="16838"/>
      <w:pgMar w:top="85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6"/>
      </w:rPr>
      <w:t xml:space="preserve">JCE Infrastructure Pty Ltd   |   JCE-RFQ-VP527277-03 Rev B   |   MRC-2645 (VP527277)   |   Confidential   |   Page </w:t>
    </w:r>
    <w:r>
      <w:rPr>
        <w:color w:val="555555"/>
        <w:sz w:val="16"/>
      </w:rPr>
      <w:fldChar w:fldCharType="begin"/>
      <w:instrText xml:space="preserve">PAGE</w:instrText>
      <w:fldChar w:fldCharType="end"/>
    </w:r>
    <w:r>
      <w:rPr>
        <w:color w:val="555555"/>
        <w:sz w:val="16"/>
      </w:rPr>
      <w:t xml:space="preserve"> of </w:t>
    </w:r>
    <w:r>
      <w:rPr>
        <w:color w:val="555555"/>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color w:val="1F3A5F"/>
        <w:sz w:val="28"/>
      </w:rPr>
      <w:t>JCE Infrastructure Pty Ltd</w:t>
    </w:r>
  </w:p>
  <w:p>
    <w:pPr>
      <w:spacing w:after="0"/>
    </w:pPr>
    <w:r>
      <w:rPr>
        <w:color w:val="555555"/>
        <w:sz w:val="17"/>
      </w:rPr>
      <w:t>ABN 29 699 165 663   |   0477 207 027   |   jayden@jceinfrastructure.com.au</w:t>
    </w:r>
  </w:p>
  <w:p>
    <w:pPr>
      <w:spacing w:after="0"/>
      <w:pBdr>
        <w:bottom w:val="single" w:sz="8" w:space="4" w:color="1F3A5F"/>
      </w:pBdr>
    </w:pPr>
    <w:r>
      <w:rPr>
        <w:color w:val="555555"/>
        <w:sz w:val="17"/>
      </w:rPr>
      <w:t>756 Quia Road, Gunnedah NSW 2380   |   Civil and hydraulic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