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F (final for review and signature)</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$ 1,646,150.55</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the road imaging partner,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The specialist field work is carried by partners who do it every day: vehicle-based geo-referenced imaging of about 3,000 km of road, Level 2 inspection of 127 bridges, major culverts and footbridges, and review and signing of the valuation by a qualified valuer. JCE carries the methodology, Council liaison, data quality, remaining life, defect and safety assessment, the 10-year programs and the reporting.</w:t>
      </w:r>
    </w:p>
    <w:p>
      <w:r>
        <w:rPr>
          <w:b w:val="0"/>
          <w:i w:val="0"/>
        </w:rPr>
        <w:t>The lump sum is $ 1,646,150.55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The imaging partner captures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imaging vehicle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w:t>
            </w:r>
          </w:p>
        </w:tc>
        <w:tc>
          <w:tcPr>
            <w:tcW w:type="dxa" w:w="7030"/>
          </w:tcPr>
          <w:p>
            <w:pPr>
              <w:keepNext/>
              <w:spacing w:after="20"/>
            </w:pPr>
            <w:r/>
            <w:r>
              <w:rPr>
                <w:b w:val="0"/>
                <w:i w:val="0"/>
                <w:sz w:val="18"/>
              </w:rPr>
              <w:t>Lead Consultant and single point of contact; methodology, hold points, rating guide, Council liaison, data QA audits,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Road imaging partner</w:t>
            </w:r>
          </w:p>
        </w:tc>
        <w:tc>
          <w:tcPr>
            <w:tcW w:type="dxa" w:w="7030"/>
          </w:tcPr>
          <w:p>
            <w:pPr>
              <w:keepNext/>
              <w:spacing w:after="20"/>
            </w:pPr>
            <w:r/>
            <w:r>
              <w:rPr>
                <w:b w:val="0"/>
                <w:i w:val="0"/>
                <w:sz w:val="18"/>
              </w:rPr>
              <w:t>Vehicle and footpath imaging, inventory and condition rating of roads, kerb, footpaths, carparks, islands, culverts, guardrail and bus shelters; data in Council's template, GIS layers, image index and coded defect schedule</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managed by JCE)</w:t>
      </w:r>
    </w:p>
    <w:p>
      <w:pPr>
        <w:pStyle w:val="ListBullet"/>
        <w:spacing w:after="60"/>
      </w:pPr>
      <w:r>
        <w:rPr>
          <w:b/>
          <w:i w:val="0"/>
        </w:rPr>
        <w:t>Roads, kerb and roadside:</w:t>
      </w:r>
      <w:r>
        <w:rPr>
          <w:b w:val="0"/>
          <w:i w:val="0"/>
        </w:rPr>
        <w:t xml:space="preserve"> vehicle-mounted geo-referenced high-resolution stills every 10 m, GPS embedded natively in each image (DRFA compliant), wide enough to capture kerb to kerb or table drain to table drain and roadside hazards on both sides, with offset GPS pick-up of on-road and roadside features. The imaging partner will state in its methodology whether it captures one lane or both lanes in one pass, including on single-lane unsealed roads.</w:t>
      </w:r>
    </w:p>
    <w:p>
      <w:pPr>
        <w:pStyle w:val="ListBullet"/>
        <w:spacing w:after="60"/>
      </w:pPr>
      <w:r>
        <w:rPr>
          <w:b w:val="0"/>
          <w:i w:val="0"/>
        </w:rPr>
        <w:t>Footpaths, carparks, roundabouts, islands, medians, bus shelters and rural culverts: inventory verification, dimensions, condition and defects, with at least two images per defect (segment overview and close-up).</w:t>
      </w:r>
    </w:p>
    <w:p>
      <w:pPr>
        <w:pStyle w:val="ListBullet"/>
        <w:spacing w:after="60"/>
      </w:pPr>
      <w:r>
        <w:rPr>
          <w:b/>
          <w:i w:val="0"/>
        </w:rPr>
        <w:t>Guardrail and handrail:</w:t>
      </w:r>
      <w:r>
        <w:rPr>
          <w:b w:val="0"/>
          <w:i w:val="0"/>
        </w:rPr>
        <w:t xml:space="preserve"> inventory, condition and the data JCE needs for the safety assessment,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Condition 5 and safety defects notified to Council the same day; weekly progress data; two JCE field verification visits, each of three days, across the zones.</w:t>
      </w:r>
    </w:p>
    <w:p>
      <w:pPr>
        <w:keepNext/>
        <w:spacing w:before="120" w:after="60"/>
      </w:pPr>
      <w:r>
        <w:rPr>
          <w:b/>
          <w:i w:val="0"/>
          <w:color w:val="C9A227"/>
          <w:sz w:val="21"/>
        </w:rPr>
        <w:t>Stage 4: Data, remaining life, defects, safety and programs (JCE)</w:t>
      </w:r>
    </w:p>
    <w:p>
      <w:pPr>
        <w:pStyle w:val="ListBullet"/>
        <w:spacing w:after="60"/>
      </w:pPr>
      <w:r>
        <w:rPr>
          <w:b w:val="0"/>
          <w:i w:val="0"/>
        </w:rPr>
        <w:t>Audit of the partner data against Council's template: Asset IDs, segments, components, completeness, image naming and GPS, with a re-rated sample in each zone and asset class; one Excel register and one set of GIS layers.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by the imaging partner on every data delivery (Asset IDs, segment continuity, mandatory fields, image naming and GPS).</w:t>
      </w:r>
    </w:p>
    <w:p>
      <w:pPr>
        <w:pStyle w:val="ListBullet"/>
        <w:spacing w:after="60"/>
      </w:pPr>
      <w:r>
        <w:rPr>
          <w:b w:val="0"/>
          <w:i w:val="0"/>
        </w:rPr>
        <w:t>JCE re-rating of a random sample of at least 2% of segments in each zone and asset class;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in MapInfo .tab (or Council's preferred format) with Asset ID and inspection metadata;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second imaging vehicle if capture is more than one week behind by mid-March</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Field capture and bridge inspection are carried by partner crews under the approved method; JCE's own time is planned at about 30 hours a week (Section 5.0) with other work scheduled around the May to June reporting peak</w:t>
            </w:r>
          </w:p>
        </w:tc>
      </w:tr>
    </w:tbl>
    <w:p>
      <w:pPr>
        <w:spacing w:after="40"/>
      </w:pPr>
    </w:p>
    <w:p>
      <w:r>
        <w:rPr>
          <w:b w:val="0"/>
          <w:i w:val="0"/>
        </w:rPr>
        <w:t>Sign-off. Reports are prepared and signed by Jayden Callen, BEng (Hons), MIEAust, as JCE's project manager.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Road, roadside and ancillary inspections, all four zones</w:t>
            </w:r>
          </w:p>
        </w:tc>
        <w:tc>
          <w:tcPr>
            <w:tcW w:type="dxa" w:w="3402"/>
          </w:tcPr>
          <w:p>
            <w:pPr>
              <w:keepNext w:val="0"/>
              <w:spacing w:after="20"/>
            </w:pPr>
            <w:r/>
            <w:r>
              <w:rPr>
                <w:b w:val="0"/>
                <w:i w:val="0"/>
                <w:sz w:val="18"/>
              </w:rPr>
              <w:t>08/02/2027 to 16/04/2027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field verification visits</w:t>
            </w:r>
          </w:p>
        </w:tc>
        <w:tc>
          <w:tcPr>
            <w:tcW w:type="dxa" w:w="3402"/>
          </w:tcPr>
          <w:p>
            <w:pPr>
              <w:keepNext w:val="0"/>
              <w:spacing w:after="20"/>
            </w:pPr>
            <w:r/>
            <w:r>
              <w:rPr>
                <w:b w:val="0"/>
                <w:i w:val="0"/>
                <w:sz w:val="18"/>
              </w:rPr>
              <w:t>23/02 to 25/02/2027; 23/03 to 25/03/2027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jc w:val="center"/>
      </w:pPr>
      <w:r>
        <w:drawing>
          <wp:inline xmlns:a="http://schemas.openxmlformats.org/drawingml/2006/main" xmlns:pic="http://schemas.openxmlformats.org/drawingml/2006/picture">
            <wp:extent cx="5903999" cy="3660479"/>
            <wp:docPr id="1" name="Picture 1"/>
            <wp:cNvGraphicFramePr>
              <a:graphicFrameLocks noChangeAspect="1"/>
            </wp:cNvGraphicFramePr>
            <a:graphic>
              <a:graphicData uri="http://schemas.openxmlformats.org/drawingml/2006/picture">
                <pic:pic>
                  <pic:nvPicPr>
                    <pic:cNvPr id="0" name="VP527277_Gantt_Year1.png"/>
                    <pic:cNvPicPr/>
                  </pic:nvPicPr>
                  <pic:blipFill>
                    <a:blip r:embed="rId10"/>
                    <a:stretch>
                      <a:fillRect/>
                    </a:stretch>
                  </pic:blipFill>
                  <pic:spPr>
                    <a:xfrm>
                      <a:off x="0" y="0"/>
                      <a:ext cx="5903999" cy="3660479"/>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and Lead Consultant representative</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QA, data, remaining life, defect and safety assessment, programs, valuation inputs and reports</w:t>
            </w:r>
          </w:p>
        </w:tc>
      </w:tr>
      <w:tr>
        <w:trPr>
          <w:cantSplit/>
        </w:trPr>
        <w:tc>
          <w:tcPr>
            <w:tcW w:type="dxa" w:w="2494"/>
          </w:tcPr>
          <w:p>
            <w:pPr>
              <w:keepNext/>
              <w:spacing w:after="20"/>
            </w:pPr>
            <w:r/>
            <w:r>
              <w:rPr>
                <w:b w:val="0"/>
                <w:i w:val="0"/>
                <w:sz w:val="18"/>
              </w:rPr>
              <w:t>Road and roadside imaging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Imaging vehicles, footpath capture, GPS imagery, condition rating, GIS layers and data in Council's template</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and Jayden Callen delivers all of JCE's own work on this commission. Year 1 needs about 766 JCE hours between December 2026 and June 2027, about 30 hours a week on average over 26 working weeks. The partners carry the production work: image capture and rating, GIS layers and data in Council's template, the coded defect schedule, bridge inspections and the valuation calculations. JCE's time goes to the work Council is paying a lead consultant for: the method, Council liaison, auditing the data, remaining life, the defect, safety and condition reports, the 10-year programs and review of every deliverable.</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data request, partner set-up</w:t>
            </w:r>
          </w:p>
        </w:tc>
        <w:tc>
          <w:tcPr>
            <w:tcW w:type="dxa" w:w="1814"/>
          </w:tcPr>
          <w:p>
            <w:pPr>
              <w:keepNext/>
              <w:spacing w:after="20"/>
              <w:jc w:val="right"/>
            </w:pPr>
            <w:r/>
            <w:r>
              <w:rPr>
                <w:b w:val="0"/>
                <w:i w:val="0"/>
                <w:sz w:val="18"/>
              </w:rPr>
              <w:t>60</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and calibration</w:t>
            </w:r>
          </w:p>
        </w:tc>
        <w:tc>
          <w:tcPr>
            <w:tcW w:type="dxa" w:w="1814"/>
          </w:tcPr>
          <w:p>
            <w:pPr>
              <w:keepNext/>
              <w:spacing w:after="20"/>
              <w:jc w:val="right"/>
            </w:pPr>
            <w:r/>
            <w:r>
              <w:rPr>
                <w:b w:val="0"/>
                <w:i w:val="0"/>
                <w:sz w:val="18"/>
              </w:rPr>
              <w:t>90</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Capture start, field verification visit 1, bridge inspections start</w:t>
            </w:r>
          </w:p>
        </w:tc>
        <w:tc>
          <w:tcPr>
            <w:tcW w:type="dxa" w:w="1814"/>
          </w:tcPr>
          <w:p>
            <w:pPr>
              <w:keepNext/>
              <w:spacing w:after="20"/>
              <w:jc w:val="right"/>
            </w:pPr>
            <w:r/>
            <w:r>
              <w:rPr>
                <w:b w:val="0"/>
                <w:i w:val="0"/>
                <w:sz w:val="18"/>
              </w:rPr>
              <w:t>110</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Field verification visit 2, bridge report reviews, unit rates with valuer</w:t>
            </w:r>
          </w:p>
        </w:tc>
        <w:tc>
          <w:tcPr>
            <w:tcW w:type="dxa" w:w="1814"/>
          </w:tcPr>
          <w:p>
            <w:pPr>
              <w:keepNext/>
              <w:spacing w:after="20"/>
              <w:jc w:val="right"/>
            </w:pPr>
            <w:r/>
            <w:r>
              <w:rPr>
                <w:b w:val="0"/>
                <w:i w:val="0"/>
                <w:sz w:val="18"/>
              </w:rPr>
              <w:t>120</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Data QA audits, remaining life model, defect schedule review</w:t>
            </w:r>
          </w:p>
        </w:tc>
        <w:tc>
          <w:tcPr>
            <w:tcW w:type="dxa" w:w="1814"/>
          </w:tcPr>
          <w:p>
            <w:pPr>
              <w:keepNext/>
              <w:spacing w:after="20"/>
              <w:jc w:val="right"/>
            </w:pPr>
            <w:r/>
            <w:r>
              <w:rPr>
                <w:b w:val="0"/>
                <w:i w:val="0"/>
                <w:sz w:val="18"/>
              </w:rPr>
              <w:t>95</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165</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125</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766</w:t>
            </w:r>
          </w:p>
        </w:tc>
      </w:tr>
    </w:tbl>
    <w:p>
      <w:pPr>
        <w:spacing w:after="40"/>
      </w:pP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Condition inspection. </w:t>
      </w:r>
      <w:r>
        <w:rPr>
          <w:b w:val="0"/>
          <w:i w:val="0"/>
        </w:rPr>
        <w:t>Condition inspection and certification of an existing earthen flood levee about 647 m long at Gunnedah, with field dispersion and plasticity testing (JCE, 2026).</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w:t>
      </w:r>
      <w:r>
        <w:rPr>
          <w:b w:val="0"/>
          <w:i w:val="0"/>
        </w:rPr>
        <w:t>Civil 3D, Navisworks and InfraWorks; CAD standards and automation in AutoLISP and Excel VBA.</w:t>
      </w:r>
    </w:p>
    <w:p>
      <w:r>
        <w:rPr>
          <w:b w:val="0"/>
          <w:i w:val="0"/>
        </w:rPr>
        <w:t>JCE has not yet delivered a network condition audit or valuation as lead consultant. The partners'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visits (about 12 nights in Year 1) and for the partner imaging and bridge crews during the February to April 2027 field program, and the same each year from 2028 to 2031 in the zone being inspected. [TBC - Jayden: add any partner staff, office or suppliers in the region or in Echuca, once quotes arrive.]</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$ 696,670.50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$ 188,950.00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$ 200,570.00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$ 163,310.00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$ 247,000.00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$ 1,496,500.50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$ 149,650.05</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$ 1,646,150.55</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pPr>
            <w:r/>
            <w:r>
              <w:rPr>
                <w:b/>
                <w:i w:val="0"/>
                <w:color w:val="FFFFFF"/>
                <w:sz w:val="18"/>
              </w:rPr>
              <w:t>Part</w:t>
            </w:r>
          </w:p>
        </w:tc>
        <w:tc>
          <w:tcPr>
            <w:tcW w:type="dxa" w:w="6350"/>
            <w:shd w:val="clear" w:color="auto" w:fill="1A1A1A"/>
          </w:tcPr>
          <w:p>
            <w:pPr>
              <w:keepNext/>
            </w:pPr>
            <w:r/>
            <w:r>
              <w:rPr>
                <w:b/>
                <w:i w:val="0"/>
                <w:color w:val="FFFFFF"/>
                <w:sz w:val="18"/>
              </w:rPr>
              <w:t>Breakdown of Item 1 (Year 1)</w:t>
            </w:r>
          </w:p>
        </w:tc>
        <w:tc>
          <w:tcPr>
            <w:tcW w:type="dxa" w:w="2041"/>
            <w:shd w:val="clear" w:color="auto" w:fill="1A1A1A"/>
          </w:tcPr>
          <w:p>
            <w:pPr>
              <w:keepNext/>
            </w:pPr>
            <w:r/>
            <w:r>
              <w:rPr>
                <w:b/>
                <w:i w:val="0"/>
                <w:color w:val="FFFFFF"/>
                <w:sz w:val="18"/>
              </w:rPr>
              <w:t>Amount (excl. GST)</w:t>
            </w:r>
          </w:p>
        </w:tc>
      </w:tr>
      <w:tr>
        <w:trPr>
          <w:cantSplit/>
        </w:trPr>
        <w:tc>
          <w:tcPr>
            <w:tcW w:type="dxa" w:w="907"/>
          </w:tcPr>
          <w:p>
            <w:pPr>
              <w:keepNext/>
              <w:spacing w:after="20"/>
            </w:pPr>
            <w:r/>
            <w:r>
              <w:rPr>
                <w:b w:val="0"/>
                <w:i w:val="0"/>
                <w:sz w:val="18"/>
              </w:rPr>
              <w:t>Stage 1</w:t>
            </w:r>
          </w:p>
        </w:tc>
        <w:tc>
          <w:tcPr>
            <w:tcW w:type="dxa" w:w="6350"/>
          </w:tcPr>
          <w:p>
            <w:pPr>
              <w:keepNext/>
              <w:spacing w:after="20"/>
            </w:pPr>
            <w:r/>
            <w:r>
              <w:rPr>
                <w:b w:val="0"/>
                <w:i w:val="0"/>
                <w:sz w:val="18"/>
              </w:rPr>
              <w:t>Mobilisation: inception, Council data review and hold point submissions</w:t>
            </w:r>
          </w:p>
        </w:tc>
        <w:tc>
          <w:tcPr>
            <w:tcW w:type="dxa" w:w="2041"/>
          </w:tcPr>
          <w:p>
            <w:pPr>
              <w:keepNext/>
              <w:spacing w:after="20"/>
              <w:jc w:val="right"/>
            </w:pPr>
            <w:r/>
            <w:r>
              <w:rPr>
                <w:b w:val="0"/>
                <w:i w:val="0"/>
                <w:sz w:val="18"/>
              </w:rPr>
              <w:t>$ 19,520.00</w:t>
            </w:r>
          </w:p>
        </w:tc>
      </w:tr>
      <w:tr>
        <w:trPr>
          <w:cantSplit/>
        </w:trPr>
        <w:tc>
          <w:tcPr>
            <w:tcW w:type="dxa" w:w="907"/>
          </w:tcPr>
          <w:p>
            <w:pPr>
              <w:keepNext/>
              <w:spacing w:after="20"/>
            </w:pPr>
            <w:r/>
            <w:r>
              <w:rPr>
                <w:b w:val="0"/>
                <w:i w:val="0"/>
                <w:sz w:val="18"/>
              </w:rPr>
              <w:t>Stage 2</w:t>
            </w:r>
          </w:p>
        </w:tc>
        <w:tc>
          <w:tcPr>
            <w:tcW w:type="dxa" w:w="6350"/>
          </w:tcPr>
          <w:p>
            <w:pPr>
              <w:keepNext/>
              <w:spacing w:after="20"/>
            </w:pPr>
            <w:r/>
            <w:r>
              <w:rPr>
                <w:b w:val="0"/>
                <w:i w:val="0"/>
                <w:sz w:val="18"/>
              </w:rPr>
              <w:t>Pilot and calibration</w:t>
            </w:r>
          </w:p>
        </w:tc>
        <w:tc>
          <w:tcPr>
            <w:tcW w:type="dxa" w:w="2041"/>
          </w:tcPr>
          <w:p>
            <w:pPr>
              <w:keepNext/>
              <w:spacing w:after="20"/>
              <w:jc w:val="right"/>
            </w:pPr>
            <w:r/>
            <w:r>
              <w:rPr>
                <w:b w:val="0"/>
                <w:i w:val="0"/>
                <w:sz w:val="18"/>
              </w:rPr>
              <w:t>$ 6,600.00</w:t>
            </w:r>
          </w:p>
        </w:tc>
      </w:tr>
      <w:tr>
        <w:trPr>
          <w:cantSplit/>
        </w:trPr>
        <w:tc>
          <w:tcPr>
            <w:tcW w:type="dxa" w:w="907"/>
          </w:tcPr>
          <w:p>
            <w:pPr>
              <w:keepNext/>
              <w:spacing w:after="20"/>
            </w:pPr>
            <w:r/>
            <w:r>
              <w:rPr>
                <w:b w:val="0"/>
                <w:i w:val="0"/>
                <w:sz w:val="18"/>
              </w:rPr>
              <w:t>Stage 3</w:t>
            </w:r>
          </w:p>
        </w:tc>
        <w:tc>
          <w:tcPr>
            <w:tcW w:type="dxa" w:w="6350"/>
          </w:tcPr>
          <w:p>
            <w:pPr>
              <w:keepNext/>
              <w:spacing w:after="20"/>
            </w:pPr>
            <w:r/>
            <w:r>
              <w:rPr>
                <w:b w:val="0"/>
                <w:i w:val="0"/>
                <w:sz w:val="18"/>
              </w:rPr>
              <w:t>Inspection management, field verification and bridge report review, including all JCE travel</w:t>
            </w:r>
          </w:p>
        </w:tc>
        <w:tc>
          <w:tcPr>
            <w:tcW w:type="dxa" w:w="2041"/>
          </w:tcPr>
          <w:p>
            <w:pPr>
              <w:keepNext/>
              <w:spacing w:after="20"/>
              <w:jc w:val="right"/>
            </w:pPr>
            <w:r/>
            <w:r>
              <w:rPr>
                <w:b w:val="0"/>
                <w:i w:val="0"/>
                <w:sz w:val="18"/>
              </w:rPr>
              <w:t>$ 33,278.00</w:t>
            </w:r>
          </w:p>
        </w:tc>
      </w:tr>
      <w:tr>
        <w:trPr>
          <w:cantSplit/>
        </w:trPr>
        <w:tc>
          <w:tcPr>
            <w:tcW w:type="dxa" w:w="907"/>
          </w:tcPr>
          <w:p>
            <w:pPr>
              <w:keepNext/>
              <w:spacing w:after="20"/>
            </w:pPr>
            <w:r/>
            <w:r>
              <w:rPr>
                <w:b w:val="0"/>
                <w:i w:val="0"/>
                <w:sz w:val="18"/>
              </w:rPr>
              <w:t>Stage 4</w:t>
            </w:r>
          </w:p>
        </w:tc>
        <w:tc>
          <w:tcPr>
            <w:tcW w:type="dxa" w:w="6350"/>
          </w:tcPr>
          <w:p>
            <w:pPr>
              <w:keepNext/>
              <w:spacing w:after="20"/>
            </w:pPr>
            <w:r/>
            <w:r>
              <w:rPr>
                <w:b w:val="0"/>
                <w:i w:val="0"/>
                <w:sz w:val="18"/>
              </w:rPr>
              <w:t>Data QA audit, register and GIS, remaining life, defect report, safety assessment, 10-year programs and condition report</w:t>
            </w:r>
          </w:p>
        </w:tc>
        <w:tc>
          <w:tcPr>
            <w:tcW w:type="dxa" w:w="2041"/>
          </w:tcPr>
          <w:p>
            <w:pPr>
              <w:keepNext/>
              <w:spacing w:after="20"/>
              <w:jc w:val="right"/>
            </w:pPr>
            <w:r/>
            <w:r>
              <w:rPr>
                <w:b w:val="0"/>
                <w:i w:val="0"/>
                <w:sz w:val="18"/>
              </w:rPr>
              <w:t>$ 54,560.00</w:t>
            </w:r>
          </w:p>
        </w:tc>
      </w:tr>
      <w:tr>
        <w:trPr>
          <w:cantSplit/>
        </w:trPr>
        <w:tc>
          <w:tcPr>
            <w:tcW w:type="dxa" w:w="907"/>
          </w:tcPr>
          <w:p>
            <w:pPr>
              <w:keepNext/>
              <w:spacing w:after="20"/>
            </w:pPr>
            <w:r/>
            <w:r>
              <w:rPr>
                <w:b w:val="0"/>
                <w:i w:val="0"/>
                <w:sz w:val="18"/>
              </w:rPr>
              <w:t>Stage 5</w:t>
            </w:r>
          </w:p>
        </w:tc>
        <w:tc>
          <w:tcPr>
            <w:tcW w:type="dxa" w:w="6350"/>
          </w:tcPr>
          <w:p>
            <w:pPr>
              <w:keepNext/>
              <w:spacing w:after="20"/>
            </w:pPr>
            <w:r/>
            <w:r>
              <w:rPr>
                <w:b w:val="0"/>
                <w:i w:val="0"/>
                <w:sz w:val="18"/>
              </w:rPr>
              <w:t>Valuation inputs, reconciliation and valuer coordination</w:t>
            </w:r>
          </w:p>
        </w:tc>
        <w:tc>
          <w:tcPr>
            <w:tcW w:type="dxa" w:w="2041"/>
          </w:tcPr>
          <w:p>
            <w:pPr>
              <w:keepNext/>
              <w:spacing w:after="20"/>
              <w:jc w:val="right"/>
            </w:pPr>
            <w:r/>
            <w:r>
              <w:rPr>
                <w:b w:val="0"/>
                <w:i w:val="0"/>
                <w:sz w:val="18"/>
              </w:rPr>
              <w:t>$ 13,720.00</w:t>
            </w:r>
          </w:p>
        </w:tc>
      </w:tr>
      <w:tr>
        <w:trPr>
          <w:cantSplit/>
        </w:trPr>
        <w:tc>
          <w:tcPr>
            <w:tcW w:type="dxa" w:w="907"/>
          </w:tcPr>
          <w:p>
            <w:pPr>
              <w:keepNext/>
              <w:spacing w:after="20"/>
            </w:pPr>
            <w:r/>
            <w:r>
              <w:rPr>
                <w:b w:val="0"/>
                <w:i w:val="0"/>
                <w:sz w:val="18"/>
              </w:rPr>
              <w:t>Stage 6</w:t>
            </w:r>
          </w:p>
        </w:tc>
        <w:tc>
          <w:tcPr>
            <w:tcW w:type="dxa" w:w="6350"/>
          </w:tcPr>
          <w:p>
            <w:pPr>
              <w:keepNext/>
              <w:spacing w:after="20"/>
            </w:pPr>
            <w:r/>
            <w:r>
              <w:rPr>
                <w:b w:val="0"/>
                <w:i w:val="0"/>
                <w:sz w:val="18"/>
              </w:rPr>
              <w:t>Project management, quality review and close-out</w:t>
            </w:r>
          </w:p>
        </w:tc>
        <w:tc>
          <w:tcPr>
            <w:tcW w:type="dxa" w:w="2041"/>
          </w:tcPr>
          <w:p>
            <w:pPr>
              <w:keepNext/>
              <w:spacing w:after="20"/>
              <w:jc w:val="right"/>
            </w:pPr>
            <w:r/>
            <w:r>
              <w:rPr>
                <w:b w:val="0"/>
                <w:i w:val="0"/>
                <w:sz w:val="18"/>
              </w:rPr>
              <w:t>$ 23,200.00</w:t>
            </w:r>
          </w:p>
        </w:tc>
      </w:tr>
      <w:tr>
        <w:trPr>
          <w:cantSplit/>
        </w:trPr>
        <w:tc>
          <w:tcPr>
            <w:tcW w:type="dxa" w:w="907"/>
          </w:tcPr>
          <w:p>
            <w:pPr>
              <w:keepNext/>
              <w:spacing w:after="20"/>
            </w:pPr>
            <w:r/>
            <w:r>
              <w:rPr>
                <w:b w:val="0"/>
                <w:i w:val="0"/>
                <w:sz w:val="18"/>
              </w:rPr>
              <w:t>PS1</w:t>
            </w:r>
          </w:p>
        </w:tc>
        <w:tc>
          <w:tcPr>
            <w:tcW w:type="dxa" w:w="6350"/>
          </w:tcPr>
          <w:p>
            <w:pPr>
              <w:keepNext/>
              <w:spacing w:after="20"/>
            </w:pPr>
            <w:r/>
            <w:r>
              <w:rPr>
                <w:b w:val="0"/>
                <w:i w:val="0"/>
                <w:sz w:val="18"/>
              </w:rPr>
              <w:t>Road imaging partner: imaging, inventory and condition data, all classes (provisional sum, cost plus 10%)</w:t>
            </w:r>
          </w:p>
        </w:tc>
        <w:tc>
          <w:tcPr>
            <w:tcW w:type="dxa" w:w="2041"/>
          </w:tcPr>
          <w:p>
            <w:pPr>
              <w:keepNext/>
              <w:spacing w:after="20"/>
              <w:jc w:val="right"/>
            </w:pPr>
            <w:r/>
            <w:r>
              <w:rPr>
                <w:b w:val="0"/>
                <w:i w:val="0"/>
                <w:sz w:val="18"/>
              </w:rPr>
              <w:t>$ 341,302.50</w:t>
            </w:r>
          </w:p>
        </w:tc>
      </w:tr>
      <w:tr>
        <w:trPr>
          <w:cantSplit/>
        </w:trPr>
        <w:tc>
          <w:tcPr>
            <w:tcW w:type="dxa" w:w="907"/>
          </w:tcPr>
          <w:p>
            <w:pPr>
              <w:keepNext/>
              <w:spacing w:after="20"/>
            </w:pPr>
            <w:r/>
            <w:r>
              <w:rPr>
                <w:b w:val="0"/>
                <w:i w:val="0"/>
                <w:sz w:val="18"/>
              </w:rPr>
              <w:t>PS1k</w:t>
            </w:r>
          </w:p>
        </w:tc>
        <w:tc>
          <w:tcPr>
            <w:tcW w:type="dxa" w:w="6350"/>
          </w:tcPr>
          <w:p>
            <w:pPr>
              <w:keepNext/>
              <w:spacing w:after="20"/>
            </w:pPr>
            <w:r/>
            <w:r>
              <w:rPr>
                <w:b w:val="0"/>
                <w:i w:val="0"/>
                <w:sz w:val="18"/>
              </w:rPr>
              <w:t>Road imaging partner: GIS layers, register population in Council's template and coded defect schedule (provisional sum, cost plus 10%)</w:t>
            </w:r>
          </w:p>
        </w:tc>
        <w:tc>
          <w:tcPr>
            <w:tcW w:type="dxa" w:w="2041"/>
          </w:tcPr>
          <w:p>
            <w:pPr>
              <w:keepNext/>
              <w:spacing w:after="20"/>
              <w:jc w:val="right"/>
            </w:pPr>
            <w:r/>
            <w:r>
              <w:rPr>
                <w:b w:val="0"/>
                <w:i w:val="0"/>
                <w:sz w:val="18"/>
              </w:rPr>
              <w:t>$ 22,550.00</w:t>
            </w:r>
          </w:p>
        </w:tc>
      </w:tr>
      <w:tr>
        <w:trPr>
          <w:cantSplit/>
        </w:trPr>
        <w:tc>
          <w:tcPr>
            <w:tcW w:type="dxa" w:w="907"/>
          </w:tcPr>
          <w:p>
            <w:pPr>
              <w:keepNext/>
              <w:spacing w:after="20"/>
            </w:pPr>
            <w:r/>
            <w:r>
              <w:rPr>
                <w:b w:val="0"/>
                <w:i w:val="0"/>
                <w:sz w:val="18"/>
              </w:rPr>
              <w:t>PS2</w:t>
            </w:r>
          </w:p>
        </w:tc>
        <w:tc>
          <w:tcPr>
            <w:tcW w:type="dxa" w:w="6350"/>
          </w:tcPr>
          <w:p>
            <w:pPr>
              <w:keepNext/>
              <w:spacing w:after="20"/>
            </w:pPr>
            <w:r/>
            <w:r>
              <w:rPr>
                <w:b w:val="0"/>
                <w:i w:val="0"/>
                <w:sz w:val="18"/>
              </w:rPr>
              <w:t>Bridge inspection partner: Level 2 inspections of 127 structures (provisional sum, cost plus 10%)</w:t>
            </w:r>
          </w:p>
        </w:tc>
        <w:tc>
          <w:tcPr>
            <w:tcW w:type="dxa" w:w="2041"/>
          </w:tcPr>
          <w:p>
            <w:pPr>
              <w:keepNext/>
              <w:spacing w:after="20"/>
              <w:jc w:val="right"/>
            </w:pPr>
            <w:r/>
            <w:r>
              <w:rPr>
                <w:b w:val="0"/>
                <w:i w:val="0"/>
                <w:sz w:val="18"/>
              </w:rPr>
              <w:t>$ 129,140.00</w:t>
            </w:r>
          </w:p>
        </w:tc>
      </w:tr>
      <w:tr>
        <w:trPr>
          <w:cantSplit/>
        </w:trPr>
        <w:tc>
          <w:tcPr>
            <w:tcW w:type="dxa" w:w="907"/>
          </w:tcPr>
          <w:p>
            <w:pPr>
              <w:keepNext/>
              <w:spacing w:after="20"/>
            </w:pPr>
            <w:r/>
            <w:r>
              <w:rPr>
                <w:b w:val="0"/>
                <w:i w:val="0"/>
                <w:sz w:val="18"/>
              </w:rPr>
              <w:t>PS3</w:t>
            </w:r>
          </w:p>
        </w:tc>
        <w:tc>
          <w:tcPr>
            <w:tcW w:type="dxa" w:w="6350"/>
          </w:tcPr>
          <w:p>
            <w:pPr>
              <w:keepNext/>
              <w:spacing w:after="20"/>
            </w:pPr>
            <w:r/>
            <w:r>
              <w:rPr>
                <w:b w:val="0"/>
                <w:i w:val="0"/>
                <w:sz w:val="18"/>
              </w:rPr>
              <w:t>Valuer: methodology and unit rate review, signed valuation report (provisional sum, cost plus 10%)</w:t>
            </w:r>
          </w:p>
        </w:tc>
        <w:tc>
          <w:tcPr>
            <w:tcW w:type="dxa" w:w="2041"/>
          </w:tcPr>
          <w:p>
            <w:pPr>
              <w:keepNext/>
              <w:spacing w:after="20"/>
              <w:jc w:val="right"/>
            </w:pPr>
            <w:r/>
            <w:r>
              <w:rPr>
                <w:b w:val="0"/>
                <w:i w:val="0"/>
                <w:sz w:val="18"/>
              </w:rPr>
              <w:t>$ 33,000.00</w:t>
            </w:r>
          </w:p>
        </w:tc>
      </w:tr>
      <w:tr>
        <w:trPr>
          <w:cantSplit/>
        </w:trPr>
        <w:tc>
          <w:tcPr>
            <w:tcW w:type="dxa" w:w="907"/>
          </w:tcPr>
          <w:p>
            <w:pPr>
              <w:keepNext/>
              <w:spacing w:after="20"/>
            </w:pPr>
            <w:r/>
            <w:r>
              <w:rPr>
                <w:b w:val="0"/>
                <w:i w:val="0"/>
                <w:sz w:val="18"/>
              </w:rPr>
              <w:t>PS3b</w:t>
            </w:r>
          </w:p>
        </w:tc>
        <w:tc>
          <w:tcPr>
            <w:tcW w:type="dxa" w:w="6350"/>
          </w:tcPr>
          <w:p>
            <w:pPr>
              <w:keepNext/>
              <w:spacing w:after="20"/>
            </w:pPr>
            <w:r/>
            <w:r>
              <w:rPr>
                <w:b w:val="0"/>
                <w:i w:val="0"/>
                <w:sz w:val="18"/>
              </w:rPr>
              <w:t>Valuer: valuation calculations and benchmark unit rates (provisional sum, cost plus 10%)</w:t>
            </w:r>
          </w:p>
        </w:tc>
        <w:tc>
          <w:tcPr>
            <w:tcW w:type="dxa" w:w="2041"/>
          </w:tcPr>
          <w:p>
            <w:pPr>
              <w:keepNext/>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$ 696,670.50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$ 182,826.24</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$ 190,238.13</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$ 9,662.89</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$ 24,358.53</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$ 6,835.40</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$ 13,835.50</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$ 51,224.29</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$ 22,876.16</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$ 1,921.60</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$ 180,081.11</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$ 12,810.65</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$ 696,670.50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w:t>
            </w:r>
          </w:p>
        </w:tc>
        <w:tc>
          <w:tcPr>
            <w:tcW w:type="dxa" w:w="2835"/>
          </w:tcPr>
          <w:p>
            <w:pPr>
              <w:keepNext/>
              <w:spacing w:after="20"/>
            </w:pPr>
            <w:r/>
            <w:r>
              <w:rPr>
                <w:b w:val="0"/>
                <w:i w:val="0"/>
                <w:sz w:val="18"/>
              </w:rPr>
              <w:t>Held as required by law</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Partner rates for directed additional work, including JCE's 10% mark-up: imaging crew day, road imaging and rating per km (sealed and unsealed), additional asset inspection per asset,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and single point of contact. Bachelor of Engineering (Honours) Civil, Deakin University; Engineers Australia member 11036201; application for the National Engineering Register (civil) in progress. Detailed CV attached.</w:t>
      </w:r>
    </w:p>
    <w:p>
      <w:r>
        <w:rPr>
          <w:b w:val="0"/>
          <w:i w:val="0"/>
        </w:rPr>
        <w:t>Partner key personnel: names, qualifications, years of experience and comparable council projects for the imaging partner,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F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