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RFT RETURNABLE DOCUMENTS</w:t>
      </w:r>
    </w:p>
    <w:p>
      <w:pPr>
        <w:spacing w:after="40"/>
      </w:pPr>
      <w:r>
        <w:rPr>
          <w:b/>
          <w:sz w:val="30"/>
        </w:rPr>
        <w:t>Transport Assets Condition Audit &amp; Revaluations 2026/27</w:t>
      </w:r>
    </w:p>
    <w:p>
      <w:r>
        <w:rPr>
          <w:color w:val="595959"/>
          <w:sz w:val="20"/>
        </w:rPr>
        <w:t>Inner West Council  |  RFT 47-26  |  Completed by JCE Infrastructure Pty Ltd, 12/10/2026</w:t>
      </w:r>
    </w:p>
    <w:p>
      <w:r>
        <w:rPr>
          <w:i w:val="0"/>
        </w:rPr>
        <w:t>Project: Transport Assets Condition Audit &amp; Revaluations 2026/27   |   RFT No: RFT 47-26   |   Closing: 2:00 pm Wednesday 28/10/2026 (extended from 21/10/2026 by VendorPanel notice of 09/10/2026)</w:t>
      </w:r>
    </w:p>
    <w:p>
      <w:r>
        <w:rPr>
          <w:i w:val="0"/>
        </w:rPr>
        <w:t>Respondent: JCE Infrastructure Pty Ltd (ABN 29 699 165 663). Completed in the order and wording of Council's Returnable Documents form. Items marked [TBC - Jayden] must be completed before e-signing and saving as PDF.</w:t>
      </w:r>
    </w:p>
    <w:p>
      <w:pPr>
        <w:pStyle w:val="Heading1"/>
        <w:pBdr>
          <w:bottom w:val="single" w:sz="6" w:space="1" w:color="C9A227"/>
        </w:pBdr>
      </w:pPr>
      <w:r>
        <w:t>1   Respondent Declaration</w:t>
      </w:r>
    </w:p>
    <w:p>
      <w:r>
        <w:rPr>
          <w:i w:val="0"/>
        </w:rPr>
        <w:t>The Respondent named below confirms that having examined and reviewed the entire Request for Tender (RFT) and relying upon its own investigation and due diligence the Respondent accepts the contents of the RFT and submits this Tender to supply the services and perform the work described in the RFT for the fee(s) specified in the Pricing Schedule submitted as part of the Tender. This Tender remains open for acceptance for ninety (90) calendar days from the Tender Closing Date. The Respondent gives the warranties in Council's form (no contact with Council officers other than the Contact Person, no inducements, no canvassing, no collusive tendering), warrants it has no actual or potential conflict of interest except as disclosed in the Tender, and confirms it has reviewed and accepts the NSW Government Model Code of Conduct and Council's Statement of Business Ethics.</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Legal Name of Respondent</w:t>
            </w:r>
          </w:p>
        </w:tc>
        <w:tc>
          <w:tcPr>
            <w:tcW w:type="dxa" w:w="6626"/>
          </w:tcPr>
          <w:p>
            <w:pPr>
              <w:spacing w:after="20"/>
            </w:pPr>
            <w:r/>
            <w:r>
              <w:rPr>
                <w:sz w:val="18"/>
              </w:rPr>
              <w:t>JCE Infrastructure Pty Ltd</w:t>
            </w:r>
          </w:p>
        </w:tc>
      </w:tr>
      <w:tr>
        <w:trPr>
          <w:cantSplit/>
        </w:trPr>
        <w:tc>
          <w:tcPr>
            <w:tcW w:type="dxa" w:w="3012"/>
            <w:shd w:val="clear" w:color="auto" w:fill="F3E9C6"/>
          </w:tcPr>
          <w:p>
            <w:r/>
            <w:r>
              <w:rPr>
                <w:b/>
                <w:sz w:val="18"/>
              </w:rPr>
              <w:t>ABN</w:t>
            </w:r>
          </w:p>
        </w:tc>
        <w:tc>
          <w:tcPr>
            <w:tcW w:type="dxa" w:w="6626"/>
          </w:tcPr>
          <w:p>
            <w:pPr>
              <w:spacing w:after="20"/>
            </w:pPr>
            <w:r/>
            <w:r>
              <w:rPr>
                <w:sz w:val="18"/>
              </w:rPr>
              <w:t>29 699 165 663</w:t>
            </w:r>
          </w:p>
        </w:tc>
      </w:tr>
      <w:tr>
        <w:trPr>
          <w:cantSplit/>
        </w:trPr>
        <w:tc>
          <w:tcPr>
            <w:tcW w:type="dxa" w:w="3012"/>
            <w:shd w:val="clear" w:color="auto" w:fill="F3E9C6"/>
          </w:tcPr>
          <w:p>
            <w:r/>
            <w:r>
              <w:rPr>
                <w:b/>
                <w:sz w:val="18"/>
              </w:rPr>
              <w:t>Address of Respondent</w:t>
            </w:r>
          </w:p>
        </w:tc>
        <w:tc>
          <w:tcPr>
            <w:tcW w:type="dxa" w:w="6626"/>
          </w:tcPr>
          <w:p>
            <w:pPr>
              <w:spacing w:after="20"/>
            </w:pPr>
            <w:r/>
            <w:r>
              <w:rPr>
                <w:sz w:val="18"/>
              </w:rPr>
              <w:t>756 Quia Road, Gunnedah NSW 2380 [TBC - Jayden: confirm this is the registered address]</w:t>
            </w:r>
          </w:p>
        </w:tc>
      </w:tr>
      <w:tr>
        <w:trPr>
          <w:cantSplit/>
        </w:trPr>
        <w:tc>
          <w:tcPr>
            <w:tcW w:type="dxa" w:w="3012"/>
            <w:shd w:val="clear" w:color="auto" w:fill="F3E9C6"/>
          </w:tcPr>
          <w:p>
            <w:r/>
            <w:r>
              <w:rPr>
                <w:b/>
                <w:sz w:val="18"/>
              </w:rPr>
              <w:t>Refer enquiries to</w:t>
            </w:r>
          </w:p>
        </w:tc>
        <w:tc>
          <w:tcPr>
            <w:tcW w:type="dxa" w:w="6626"/>
          </w:tcPr>
          <w:p>
            <w:pPr>
              <w:spacing w:after="20"/>
            </w:pPr>
            <w:r/>
            <w:r>
              <w:rPr>
                <w:sz w:val="18"/>
              </w:rPr>
              <w:t>Jayden Callen, Director, 0477 207 027, jayden@jceinfrastructure.com.au</w:t>
            </w:r>
          </w:p>
        </w:tc>
      </w:tr>
      <w:tr>
        <w:trPr>
          <w:cantSplit/>
        </w:trPr>
        <w:tc>
          <w:tcPr>
            <w:tcW w:type="dxa" w:w="3012"/>
            <w:shd w:val="clear" w:color="auto" w:fill="F3E9C6"/>
          </w:tcPr>
          <w:p>
            <w:r/>
            <w:r>
              <w:rPr>
                <w:b/>
                <w:sz w:val="18"/>
              </w:rPr>
              <w:t>Authorised Signatory</w:t>
            </w:r>
          </w:p>
        </w:tc>
        <w:tc>
          <w:tcPr>
            <w:tcW w:type="dxa" w:w="6626"/>
          </w:tcPr>
          <w:p>
            <w:pPr>
              <w:spacing w:after="20"/>
            </w:pPr>
            <w:r/>
            <w:r>
              <w:rPr>
                <w:sz w:val="18"/>
              </w:rPr>
              <w:t>Jayden Callen  [signature]</w:t>
            </w:r>
          </w:p>
        </w:tc>
      </w:tr>
      <w:tr>
        <w:trPr>
          <w:cantSplit/>
        </w:trPr>
        <w:tc>
          <w:tcPr>
            <w:tcW w:type="dxa" w:w="3012"/>
            <w:shd w:val="clear" w:color="auto" w:fill="F3E9C6"/>
          </w:tcPr>
          <w:p>
            <w:r/>
            <w:r>
              <w:rPr>
                <w:b/>
                <w:sz w:val="18"/>
              </w:rPr>
              <w:t>Title</w:t>
            </w:r>
          </w:p>
        </w:tc>
        <w:tc>
          <w:tcPr>
            <w:tcW w:type="dxa" w:w="6626"/>
          </w:tcPr>
          <w:p>
            <w:pPr>
              <w:spacing w:after="20"/>
            </w:pPr>
            <w:r/>
            <w:r>
              <w:rPr>
                <w:sz w:val="18"/>
              </w:rPr>
              <w:t>Director</w:t>
            </w:r>
          </w:p>
        </w:tc>
      </w:tr>
      <w:tr>
        <w:trPr>
          <w:cantSplit/>
        </w:trPr>
        <w:tc>
          <w:tcPr>
            <w:tcW w:type="dxa" w:w="3012"/>
            <w:shd w:val="clear" w:color="auto" w:fill="F3E9C6"/>
          </w:tcPr>
          <w:p>
            <w:r/>
            <w:r>
              <w:rPr>
                <w:b/>
                <w:sz w:val="18"/>
              </w:rPr>
              <w:t>Date</w:t>
            </w:r>
          </w:p>
        </w:tc>
        <w:tc>
          <w:tcPr>
            <w:tcW w:type="dxa" w:w="6626"/>
          </w:tcPr>
          <w:p>
            <w:pPr>
              <w:spacing w:after="20"/>
            </w:pPr>
            <w:r/>
            <w:r>
              <w:rPr>
                <w:sz w:val="18"/>
              </w:rPr>
              <w:t>[TBC - Jayden: date of lodgement]</w:t>
            </w:r>
          </w:p>
        </w:tc>
      </w:tr>
    </w:tbl>
    <w:p>
      <w:pPr>
        <w:spacing w:after="40"/>
      </w:pPr>
    </w:p>
    <w:p>
      <w:pPr>
        <w:pStyle w:val="Heading1"/>
        <w:pBdr>
          <w:bottom w:val="single" w:sz="6" w:space="1" w:color="C9A227"/>
        </w:pBdr>
      </w:pPr>
      <w:r>
        <w:t>2   Pricing Schedule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88"/>
        <w:gridCol w:w="5163"/>
        <w:gridCol w:w="1119"/>
        <w:gridCol w:w="947"/>
        <w:gridCol w:w="1721"/>
      </w:tblGrid>
      <w:tr>
        <w:trPr>
          <w:tblHeader/>
          <w:cantSplit/>
        </w:trPr>
        <w:tc>
          <w:tcPr>
            <w:tcW w:type="dxa" w:w="688"/>
            <w:shd w:val="clear" w:color="auto" w:fill="000000"/>
          </w:tcPr>
          <w:p>
            <w:pPr>
              <w:keepNext/>
            </w:pPr>
            <w:r/>
            <w:r>
              <w:rPr>
                <w:b/>
                <w:color w:val="FFFFFF"/>
                <w:sz w:val="17"/>
              </w:rPr>
              <w:t>Item No</w:t>
            </w:r>
          </w:p>
        </w:tc>
        <w:tc>
          <w:tcPr>
            <w:tcW w:type="dxa" w:w="5163"/>
            <w:shd w:val="clear" w:color="auto" w:fill="000000"/>
          </w:tcPr>
          <w:p>
            <w:pPr>
              <w:keepNext/>
            </w:pPr>
            <w:r/>
            <w:r>
              <w:rPr>
                <w:b/>
                <w:color w:val="FFFFFF"/>
                <w:sz w:val="17"/>
              </w:rPr>
              <w:t>Item Particulars</w:t>
            </w:r>
          </w:p>
        </w:tc>
        <w:tc>
          <w:tcPr>
            <w:tcW w:type="dxa" w:w="1119"/>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Quantity</w:t>
            </w:r>
          </w:p>
        </w:tc>
        <w:tc>
          <w:tcPr>
            <w:tcW w:type="dxa" w:w="1721"/>
            <w:shd w:val="clear" w:color="auto" w:fill="000000"/>
          </w:tcPr>
          <w:p>
            <w:pPr>
              <w:keepNext/>
            </w:pPr>
            <w:r/>
            <w:r>
              <w:rPr>
                <w:b/>
                <w:color w:val="FFFFFF"/>
                <w:sz w:val="17"/>
              </w:rPr>
              <w:t>Total ($)</w:t>
            </w:r>
          </w:p>
        </w:tc>
      </w:tr>
      <w:tr>
        <w:trPr>
          <w:cantSplit/>
        </w:trPr>
        <w:tc>
          <w:tcPr>
            <w:tcW w:type="dxa" w:w="688"/>
          </w:tcPr>
          <w:p>
            <w:pPr>
              <w:keepNext/>
              <w:spacing w:after="20"/>
            </w:pPr>
            <w:r/>
            <w:r>
              <w:rPr>
                <w:sz w:val="17"/>
              </w:rPr>
              <w:t>1</w:t>
            </w:r>
          </w:p>
        </w:tc>
        <w:tc>
          <w:tcPr>
            <w:tcW w:type="dxa" w:w="5163"/>
          </w:tcPr>
          <w:p>
            <w:pPr>
              <w:keepNext/>
              <w:spacing w:after="20"/>
            </w:pPr>
            <w:r/>
            <w:r>
              <w:rPr>
                <w:sz w:val="17"/>
              </w:rPr>
              <w:t>Lump Sum for Mandatory asset classes Condition Audit &amp; Comprehensive Revaluation</w:t>
            </w:r>
          </w:p>
        </w:tc>
        <w:tc>
          <w:tcPr>
            <w:tcW w:type="dxa" w:w="1119"/>
          </w:tcPr>
          <w:p>
            <w:pPr>
              <w:keepNext/>
              <w:spacing w:after="20"/>
            </w:pPr>
            <w:r/>
            <w:r>
              <w:rPr>
                <w:sz w:val="17"/>
              </w:rPr>
              <w:t>Lump sum</w:t>
            </w:r>
          </w:p>
        </w:tc>
        <w:tc>
          <w:tcPr>
            <w:tcW w:type="dxa" w:w="947"/>
          </w:tcPr>
          <w:p>
            <w:pPr>
              <w:keepNext/>
              <w:spacing w:after="20"/>
            </w:pPr>
            <w:r/>
            <w:r>
              <w:rPr>
                <w:sz w:val="17"/>
              </w:rPr>
              <w:t>1</w:t>
            </w:r>
          </w:p>
        </w:tc>
        <w:tc>
          <w:tcPr>
            <w:tcW w:type="dxa" w:w="1721"/>
          </w:tcPr>
          <w:p>
            <w:pPr>
              <w:keepNext/>
              <w:spacing w:after="20"/>
              <w:jc w:val="right"/>
            </w:pPr>
            <w:r/>
            <w:r>
              <w:rPr>
                <w:sz w:val="17"/>
              </w:rPr>
              <w:t>$445,880.00</w:t>
            </w:r>
          </w:p>
        </w:tc>
      </w:tr>
      <w:tr>
        <w:trPr>
          <w:cantSplit/>
        </w:trPr>
        <w:tc>
          <w:tcPr>
            <w:tcW w:type="dxa" w:w="688"/>
            <w:shd w:val="clear" w:color="auto" w:fill="F7F7F7"/>
          </w:tcPr>
          <w:p>
            <w:pPr>
              <w:spacing w:after="20"/>
            </w:pPr>
            <w:r/>
            <w:r>
              <w:rPr>
                <w:sz w:val="17"/>
              </w:rPr>
              <w:t>2</w:t>
            </w:r>
          </w:p>
        </w:tc>
        <w:tc>
          <w:tcPr>
            <w:tcW w:type="dxa" w:w="5163"/>
            <w:shd w:val="clear" w:color="auto" w:fill="F7F7F7"/>
          </w:tcPr>
          <w:p>
            <w:pPr>
              <w:spacing w:after="20"/>
            </w:pPr>
            <w:r/>
            <w:r>
              <w:rPr>
                <w:sz w:val="17"/>
              </w:rPr>
              <w:t>Lump Sum for PCG Meetings (fortnightly to 31 March 2027)</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$3,240.00</w:t>
            </w:r>
          </w:p>
        </w:tc>
      </w:tr>
      <w:tr>
        <w:trPr>
          <w:cantSplit/>
        </w:trPr>
        <w:tc>
          <w:tcPr>
            <w:tcW w:type="dxa" w:w="688"/>
          </w:tcPr>
          <w:p>
            <w:pPr>
              <w:spacing w:after="20"/>
            </w:pPr>
            <w:r/>
            <w:r>
              <w:rPr>
                <w:sz w:val="17"/>
              </w:rPr>
              <w:t>3</w:t>
            </w:r>
          </w:p>
        </w:tc>
        <w:tc>
          <w:tcPr>
            <w:tcW w:type="dxa" w:w="5163"/>
          </w:tcPr>
          <w:p>
            <w:pPr>
              <w:spacing w:after="20"/>
            </w:pPr>
            <w:r/>
            <w:r>
              <w:rPr>
                <w:sz w:val="17"/>
              </w:rPr>
              <w:t>Reports (where not included in Item 1)</w:t>
            </w:r>
          </w:p>
        </w:tc>
        <w:tc>
          <w:tcPr>
            <w:tcW w:type="dxa" w:w="1119"/>
          </w:tcPr>
          <w:p>
            <w:pPr>
              <w:spacing w:after="20"/>
            </w:pPr>
            <w:r/>
            <w:r>
              <w:rPr>
                <w:sz w:val="17"/>
              </w:rPr>
              <w:t>-</w:t>
            </w:r>
          </w:p>
        </w:tc>
        <w:tc>
          <w:tcPr>
            <w:tcW w:type="dxa" w:w="947"/>
          </w:tcPr>
          <w:p>
            <w:pPr>
              <w:spacing w:after="20"/>
            </w:pPr>
            <w:r/>
            <w:r>
              <w:rPr>
                <w:sz w:val="17"/>
              </w:rPr>
              <w:t>-</w:t>
            </w:r>
          </w:p>
        </w:tc>
        <w:tc>
          <w:tcPr>
            <w:tcW w:type="dxa" w:w="1721"/>
          </w:tcPr>
          <w:p>
            <w:pPr>
              <w:spacing w:after="20"/>
            </w:pPr>
            <w:r/>
            <w:r>
              <w:rPr>
                <w:sz w:val="17"/>
              </w:rPr>
              <w:t>Included in Item 1</w:t>
            </w:r>
          </w:p>
        </w:tc>
      </w:tr>
      <w:tr>
        <w:trPr>
          <w:cantSplit/>
        </w:trPr>
        <w:tc>
          <w:tcPr>
            <w:tcW w:type="dxa" w:w="688"/>
            <w:shd w:val="clear" w:color="auto" w:fill="F7F7F7"/>
          </w:tcPr>
          <w:p>
            <w:pPr>
              <w:spacing w:after="20"/>
            </w:pPr>
            <w:r/>
            <w:r>
              <w:rPr>
                <w:sz w:val="17"/>
              </w:rPr>
              <w:t>4</w:t>
            </w:r>
          </w:p>
        </w:tc>
        <w:tc>
          <w:tcPr>
            <w:tcW w:type="dxa" w:w="5163"/>
            <w:shd w:val="clear" w:color="auto" w:fill="F7F7F7"/>
          </w:tcPr>
          <w:p>
            <w:pPr>
              <w:spacing w:after="20"/>
            </w:pPr>
            <w:r/>
            <w:r>
              <w:rPr>
                <w:sz w:val="17"/>
              </w:rPr>
              <w:t>Optional asset class: Lump Sum Kerb/Pram Ramps</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$54,240.00</w:t>
            </w:r>
          </w:p>
        </w:tc>
      </w:tr>
      <w:tr>
        <w:trPr>
          <w:cantSplit/>
        </w:trPr>
        <w:tc>
          <w:tcPr>
            <w:tcW w:type="dxa" w:w="688"/>
          </w:tcPr>
          <w:p>
            <w:pPr>
              <w:spacing w:after="20"/>
            </w:pPr>
            <w:r/>
            <w:r>
              <w:rPr>
                <w:sz w:val="17"/>
              </w:rPr>
              <w:t>5</w:t>
            </w:r>
          </w:p>
        </w:tc>
        <w:tc>
          <w:tcPr>
            <w:tcW w:type="dxa" w:w="5163"/>
          </w:tcPr>
          <w:p>
            <w:pPr>
              <w:spacing w:after="20"/>
            </w:pPr>
            <w:r/>
            <w:r>
              <w:rPr>
                <w:sz w:val="17"/>
              </w:rPr>
              <w:t>Optional asset class: Lump Sum Tree Pits &amp; Verge Gardens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$34,440.00</w:t>
            </w:r>
          </w:p>
        </w:tc>
      </w:tr>
      <w:tr>
        <w:trPr>
          <w:cantSplit/>
        </w:trPr>
        <w:tc>
          <w:tcPr>
            <w:tcW w:type="dxa" w:w="688"/>
            <w:shd w:val="clear" w:color="auto" w:fill="F7F7F7"/>
          </w:tcPr>
          <w:p>
            <w:pPr>
              <w:spacing w:after="20"/>
            </w:pPr>
            <w:r/>
            <w:r>
              <w:rPr>
                <w:sz w:val="17"/>
              </w:rPr>
              <w:t>6</w:t>
            </w:r>
          </w:p>
        </w:tc>
        <w:tc>
          <w:tcPr>
            <w:tcW w:type="dxa" w:w="5163"/>
            <w:shd w:val="clear" w:color="auto" w:fill="F7F7F7"/>
          </w:tcPr>
          <w:p>
            <w:pPr>
              <w:spacing w:after="20"/>
            </w:pPr>
            <w:r/>
            <w:r>
              <w:rPr>
                <w:sz w:val="17"/>
              </w:rPr>
              <w:t>Optional asset class: Lump Sum Vehicle Crossings</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$45,440.00</w:t>
            </w:r>
          </w:p>
        </w:tc>
      </w:tr>
      <w:tr>
        <w:trPr>
          <w:cantSplit/>
        </w:trPr>
        <w:tc>
          <w:tcPr>
            <w:tcW w:type="dxa" w:w="688"/>
          </w:tcPr>
          <w:p>
            <w:pPr>
              <w:spacing w:after="20"/>
            </w:pPr>
            <w:r/>
            <w:r>
              <w:rPr>
                <w:sz w:val="17"/>
              </w:rPr>
              <w:t>7</w:t>
            </w:r>
          </w:p>
        </w:tc>
        <w:tc>
          <w:tcPr>
            <w:tcW w:type="dxa" w:w="5163"/>
          </w:tcPr>
          <w:p>
            <w:pPr>
              <w:spacing w:after="20"/>
            </w:pPr>
            <w:r/>
            <w:r>
              <w:rPr>
                <w:sz w:val="17"/>
              </w:rPr>
              <w:t>Optional asset class: Lump Sum Road &amp; Footpath Markings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$39,940.00</w:t>
            </w:r>
          </w:p>
        </w:tc>
      </w:tr>
      <w:tr>
        <w:trPr>
          <w:cantSplit/>
        </w:trPr>
        <w:tc>
          <w:tcPr>
            <w:tcW w:type="dxa" w:w="688"/>
            <w:shd w:val="clear" w:color="auto" w:fill="F7F7F7"/>
          </w:tcPr>
          <w:p>
            <w:pPr>
              <w:spacing w:after="20"/>
            </w:pPr>
            <w:r/>
            <w:r>
              <w:rPr>
                <w:sz w:val="17"/>
              </w:rPr>
              <w:t>8</w:t>
            </w:r>
          </w:p>
        </w:tc>
        <w:tc>
          <w:tcPr>
            <w:tcW w:type="dxa" w:w="5163"/>
            <w:shd w:val="clear" w:color="auto" w:fill="F7F7F7"/>
          </w:tcPr>
          <w:p>
            <w:pPr>
              <w:spacing w:after="20"/>
            </w:pPr>
            <w:r/>
            <w:r>
              <w:rPr>
                <w:sz w:val="17"/>
              </w:rPr>
              <w:t>Optional asset class: Lump Sum Retaining Walls &amp; Comprehensive Revaluation</w:t>
            </w:r>
          </w:p>
        </w:tc>
        <w:tc>
          <w:tcPr>
            <w:tcW w:type="dxa" w:w="1119"/>
            <w:shd w:val="clear" w:color="auto" w:fill="F7F7F7"/>
          </w:tcPr>
          <w:p>
            <w:pPr>
              <w:spacing w:after="20"/>
            </w:pPr>
            <w:r/>
            <w:r>
              <w:rPr>
                <w:sz w:val="17"/>
              </w:rPr>
              <w:t>Lump sum</w:t>
            </w:r>
          </w:p>
        </w:tc>
        <w:tc>
          <w:tcPr>
            <w:tcW w:type="dxa" w:w="947"/>
            <w:shd w:val="clear" w:color="auto" w:fill="F7F7F7"/>
          </w:tcPr>
          <w:p>
            <w:pPr>
              <w:spacing w:after="20"/>
            </w:pPr>
            <w:r/>
            <w:r>
              <w:rPr>
                <w:sz w:val="17"/>
              </w:rPr>
              <w:t>1</w:t>
            </w:r>
          </w:p>
        </w:tc>
        <w:tc>
          <w:tcPr>
            <w:tcW w:type="dxa" w:w="1721"/>
            <w:shd w:val="clear" w:color="auto" w:fill="F7F7F7"/>
          </w:tcPr>
          <w:p>
            <w:pPr>
              <w:spacing w:after="20"/>
              <w:jc w:val="right"/>
            </w:pPr>
            <w:r/>
            <w:r>
              <w:rPr>
                <w:sz w:val="17"/>
              </w:rPr>
              <w:t>$20,980.00</w:t>
            </w:r>
          </w:p>
        </w:tc>
      </w:tr>
      <w:tr>
        <w:trPr>
          <w:cantSplit/>
        </w:trPr>
        <w:tc>
          <w:tcPr>
            <w:tcW w:type="dxa" w:w="688"/>
          </w:tcPr>
          <w:p>
            <w:pPr>
              <w:spacing w:after="20"/>
            </w:pPr>
            <w:r/>
            <w:r>
              <w:rPr>
                <w:sz w:val="17"/>
              </w:rPr>
              <w:t>9</w:t>
            </w:r>
          </w:p>
        </w:tc>
        <w:tc>
          <w:tcPr>
            <w:tcW w:type="dxa" w:w="5163"/>
          </w:tcPr>
          <w:p>
            <w:pPr>
              <w:spacing w:after="20"/>
            </w:pPr>
            <w:r/>
            <w:r>
              <w:rPr>
                <w:sz w:val="17"/>
              </w:rPr>
              <w:t>Optional Services A: Lump Sum Transport Asset Prioritisation Analysis</w:t>
            </w:r>
          </w:p>
        </w:tc>
        <w:tc>
          <w:tcPr>
            <w:tcW w:type="dxa" w:w="1119"/>
          </w:tcPr>
          <w:p>
            <w:pPr>
              <w:spacing w:after="20"/>
            </w:pPr>
            <w:r/>
            <w:r>
              <w:rPr>
                <w:sz w:val="17"/>
              </w:rPr>
              <w:t>Lump sum</w:t>
            </w:r>
          </w:p>
        </w:tc>
        <w:tc>
          <w:tcPr>
            <w:tcW w:type="dxa" w:w="947"/>
          </w:tcPr>
          <w:p>
            <w:pPr>
              <w:spacing w:after="20"/>
            </w:pPr>
            <w:r/>
            <w:r>
              <w:rPr>
                <w:sz w:val="17"/>
              </w:rPr>
              <w:t>1</w:t>
            </w:r>
          </w:p>
        </w:tc>
        <w:tc>
          <w:tcPr>
            <w:tcW w:type="dxa" w:w="1721"/>
          </w:tcPr>
          <w:p>
            <w:pPr>
              <w:spacing w:after="20"/>
              <w:jc w:val="right"/>
            </w:pPr>
            <w:r/>
            <w:r>
              <w:rPr>
                <w:sz w:val="17"/>
              </w:rPr>
              <w:t>$13,680.00</w:t>
            </w:r>
          </w:p>
        </w:tc>
      </w:tr>
      <w:tr>
        <w:trPr>
          <w:cantSplit/>
        </w:trPr>
        <w:tc>
          <w:tcPr>
            <w:tcW w:type="dxa" w:w="688"/>
            <w:shd w:val="clear" w:color="auto" w:fill="F7F7F7"/>
          </w:tcPr>
          <w:p>
            <w:pPr>
              <w:keepNext/>
              <w:spacing w:after="20"/>
            </w:pPr>
            <w:r/>
            <w:r>
              <w:rPr>
                <w:sz w:val="17"/>
              </w:rPr>
              <w:t>10</w:t>
            </w:r>
          </w:p>
        </w:tc>
        <w:tc>
          <w:tcPr>
            <w:tcW w:type="dxa" w:w="5163"/>
            <w:shd w:val="clear" w:color="auto" w:fill="F7F7F7"/>
          </w:tcPr>
          <w:p>
            <w:pPr>
              <w:keepNext/>
              <w:spacing w:after="20"/>
            </w:pPr>
            <w:r/>
            <w:r>
              <w:rPr>
                <w:sz w:val="17"/>
              </w:rPr>
              <w:t>Other not included above (Please specify)</w:t>
            </w:r>
          </w:p>
        </w:tc>
        <w:tc>
          <w:tcPr>
            <w:tcW w:type="dxa" w:w="1119"/>
            <w:shd w:val="clear" w:color="auto" w:fill="F7F7F7"/>
          </w:tcPr>
          <w:p>
            <w:pPr>
              <w:keepNext/>
              <w:spacing w:after="20"/>
            </w:pPr>
            <w:r/>
            <w:r>
              <w:rPr>
                <w:sz w:val="17"/>
              </w:rPr>
              <w:t>-</w:t>
            </w:r>
          </w:p>
        </w:tc>
        <w:tc>
          <w:tcPr>
            <w:tcW w:type="dxa" w:w="947"/>
            <w:shd w:val="clear" w:color="auto" w:fill="F7F7F7"/>
          </w:tcPr>
          <w:p>
            <w:pPr>
              <w:keepNext/>
              <w:spacing w:after="20"/>
            </w:pPr>
            <w:r/>
            <w:r>
              <w:rPr>
                <w:sz w:val="17"/>
              </w:rPr>
              <w:t>-</w:t>
            </w:r>
          </w:p>
        </w:tc>
        <w:tc>
          <w:tcPr>
            <w:tcW w:type="dxa" w:w="1721"/>
            <w:shd w:val="clear" w:color="auto" w:fill="F7F7F7"/>
          </w:tcPr>
          <w:p>
            <w:pPr>
              <w:keepNext/>
              <w:spacing w:after="20"/>
            </w:pPr>
            <w:r/>
            <w:r>
              <w:rPr>
                <w:sz w:val="17"/>
              </w:rPr>
              <w:t>Nil</w:t>
            </w:r>
          </w:p>
        </w:tc>
      </w:tr>
      <w:tr>
        <w:trPr>
          <w:cantSplit/>
        </w:trPr>
        <w:tc>
          <w:tcPr>
            <w:tcW w:type="dxa" w:w="688"/>
            <w:shd w:val="clear" w:color="auto" w:fill="F3E9C6"/>
          </w:tcPr>
          <w:p>
            <w:pPr>
              <w:keepNext/>
              <w:spacing w:after="20"/>
            </w:pPr>
            <w:r/>
            <w:r>
              <w:rPr>
                <w:b/>
                <w:sz w:val="17"/>
              </w:rPr>
            </w:r>
          </w:p>
        </w:tc>
        <w:tc>
          <w:tcPr>
            <w:tcW w:type="dxa" w:w="5163"/>
            <w:shd w:val="clear" w:color="auto" w:fill="F3E9C6"/>
          </w:tcPr>
          <w:p>
            <w:pPr>
              <w:keepNext/>
              <w:spacing w:after="20"/>
            </w:pPr>
            <w:r/>
            <w:r>
              <w:rPr>
                <w:b/>
                <w:sz w:val="17"/>
              </w:rPr>
              <w:t>Total Contract Price (GST Exclusive): mandatory scope, Items 1 to 3 and 10</w:t>
            </w:r>
          </w:p>
        </w:tc>
        <w:tc>
          <w:tcPr>
            <w:tcW w:type="dxa" w:w="1119"/>
            <w:shd w:val="clear" w:color="auto" w:fill="F3E9C6"/>
          </w:tcPr>
          <w:p>
            <w:pPr>
              <w:keepNext/>
              <w:spacing w:after="20"/>
            </w:pPr>
            <w:r/>
            <w:r>
              <w:rPr>
                <w:b/>
                <w:sz w:val="17"/>
              </w:rPr>
            </w:r>
          </w:p>
        </w:tc>
        <w:tc>
          <w:tcPr>
            <w:tcW w:type="dxa" w:w="947"/>
            <w:shd w:val="clear" w:color="auto" w:fill="F3E9C6"/>
          </w:tcPr>
          <w:p>
            <w:pPr>
              <w:keepNext/>
              <w:spacing w:after="20"/>
            </w:pPr>
            <w:r/>
            <w:r>
              <w:rPr>
                <w:b/>
                <w:sz w:val="17"/>
              </w:rPr>
            </w:r>
          </w:p>
        </w:tc>
        <w:tc>
          <w:tcPr>
            <w:tcW w:type="dxa" w:w="1721"/>
            <w:shd w:val="clear" w:color="auto" w:fill="F3E9C6"/>
          </w:tcPr>
          <w:p>
            <w:pPr>
              <w:keepNext/>
              <w:spacing w:after="20"/>
              <w:jc w:val="right"/>
            </w:pPr>
            <w:r/>
            <w:r>
              <w:rPr>
                <w:b/>
                <w:sz w:val="17"/>
              </w:rPr>
              <w:t>$449,120.00</w:t>
            </w:r>
          </w:p>
        </w:tc>
      </w:tr>
      <w:tr>
        <w:trPr>
          <w:cantSplit/>
        </w:trPr>
        <w:tc>
          <w:tcPr>
            <w:tcW w:type="dxa" w:w="688"/>
            <w:shd w:val="clear" w:color="auto" w:fill="F3E9C6"/>
          </w:tcPr>
          <w:p>
            <w:pPr>
              <w:keepNext/>
              <w:spacing w:after="20"/>
            </w:pPr>
            <w:r/>
            <w:r>
              <w:rPr>
                <w:b/>
                <w:sz w:val="17"/>
              </w:rPr>
            </w:r>
          </w:p>
        </w:tc>
        <w:tc>
          <w:tcPr>
            <w:tcW w:type="dxa" w:w="5163"/>
            <w:shd w:val="clear" w:color="auto" w:fill="F3E9C6"/>
          </w:tcPr>
          <w:p>
            <w:pPr>
              <w:keepNext/>
              <w:spacing w:after="20"/>
            </w:pPr>
            <w:r/>
            <w:r>
              <w:rPr>
                <w:b/>
                <w:sz w:val="17"/>
              </w:rPr>
              <w:t>GST Amount</w:t>
            </w:r>
          </w:p>
        </w:tc>
        <w:tc>
          <w:tcPr>
            <w:tcW w:type="dxa" w:w="1119"/>
            <w:shd w:val="clear" w:color="auto" w:fill="F3E9C6"/>
          </w:tcPr>
          <w:p>
            <w:pPr>
              <w:keepNext/>
              <w:spacing w:after="20"/>
            </w:pPr>
            <w:r/>
            <w:r>
              <w:rPr>
                <w:b/>
                <w:sz w:val="17"/>
              </w:rPr>
            </w:r>
          </w:p>
        </w:tc>
        <w:tc>
          <w:tcPr>
            <w:tcW w:type="dxa" w:w="947"/>
            <w:shd w:val="clear" w:color="auto" w:fill="F3E9C6"/>
          </w:tcPr>
          <w:p>
            <w:pPr>
              <w:keepNext/>
              <w:spacing w:after="20"/>
            </w:pPr>
            <w:r/>
            <w:r>
              <w:rPr>
                <w:b/>
                <w:sz w:val="17"/>
              </w:rPr>
            </w:r>
          </w:p>
        </w:tc>
        <w:tc>
          <w:tcPr>
            <w:tcW w:type="dxa" w:w="1721"/>
            <w:shd w:val="clear" w:color="auto" w:fill="F3E9C6"/>
          </w:tcPr>
          <w:p>
            <w:pPr>
              <w:keepNext/>
              <w:spacing w:after="20"/>
              <w:jc w:val="right"/>
            </w:pPr>
            <w:r/>
            <w:r>
              <w:rPr>
                <w:b/>
                <w:sz w:val="17"/>
              </w:rPr>
              <w:t>$44,912.00</w:t>
            </w:r>
          </w:p>
        </w:tc>
      </w:tr>
      <w:tr>
        <w:trPr>
          <w:cantSplit/>
        </w:trPr>
        <w:tc>
          <w:tcPr>
            <w:tcW w:type="dxa" w:w="688"/>
            <w:shd w:val="clear" w:color="auto" w:fill="F3E9C6"/>
          </w:tcPr>
          <w:p>
            <w:pPr>
              <w:spacing w:after="20"/>
            </w:pPr>
            <w:r/>
            <w:r>
              <w:rPr>
                <w:b/>
                <w:sz w:val="17"/>
              </w:rPr>
            </w:r>
          </w:p>
        </w:tc>
        <w:tc>
          <w:tcPr>
            <w:tcW w:type="dxa" w:w="5163"/>
            <w:shd w:val="clear" w:color="auto" w:fill="F3E9C6"/>
          </w:tcPr>
          <w:p>
            <w:pPr>
              <w:spacing w:after="20"/>
            </w:pPr>
            <w:r/>
            <w:r>
              <w:rPr>
                <w:b/>
                <w:sz w:val="17"/>
              </w:rPr>
              <w:t>Total Contract Price (GST Inclusive)</w:t>
            </w:r>
          </w:p>
        </w:tc>
        <w:tc>
          <w:tcPr>
            <w:tcW w:type="dxa" w:w="1119"/>
            <w:shd w:val="clear" w:color="auto" w:fill="F3E9C6"/>
          </w:tcPr>
          <w:p>
            <w:pPr>
              <w:spacing w:after="20"/>
            </w:pPr>
            <w:r/>
            <w:r>
              <w:rPr>
                <w:b/>
                <w:sz w:val="17"/>
              </w:rPr>
            </w:r>
          </w:p>
        </w:tc>
        <w:tc>
          <w:tcPr>
            <w:tcW w:type="dxa" w:w="947"/>
            <w:shd w:val="clear" w:color="auto" w:fill="F3E9C6"/>
          </w:tcPr>
          <w:p>
            <w:pPr>
              <w:spacing w:after="20"/>
            </w:pPr>
            <w:r/>
            <w:r>
              <w:rPr>
                <w:b/>
                <w:sz w:val="17"/>
              </w:rPr>
            </w:r>
          </w:p>
        </w:tc>
        <w:tc>
          <w:tcPr>
            <w:tcW w:type="dxa" w:w="1721"/>
            <w:shd w:val="clear" w:color="auto" w:fill="F3E9C6"/>
          </w:tcPr>
          <w:p>
            <w:pPr>
              <w:spacing w:after="20"/>
              <w:jc w:val="right"/>
            </w:pPr>
            <w:r/>
            <w:r>
              <w:rPr>
                <w:b/>
                <w:sz w:val="17"/>
              </w:rPr>
              <w:t>$494,032.00</w:t>
            </w:r>
          </w:p>
        </w:tc>
      </w:tr>
    </w:tbl>
    <w:p>
      <w:pPr>
        <w:spacing w:after="40"/>
      </w:pPr>
    </w:p>
    <w:p>
      <w:r>
        <w:rPr>
          <w:i w:val="0"/>
        </w:rPr>
        <w:t>Optional Items 4 to 9 are priced separately for Council to select in any combination: $208,720.00 excluding GST for all six ($229,592.00 including GST). The breakdown of Item 1 by stage is in JCE's fee proposal, Section 9.0. [TBC - Jayden: update Items 1 and 4 to 8 if partner quotes (due 21/10/2026) change the provisional sums.]</w:t>
      </w:r>
    </w:p>
    <w:p>
      <w:r>
        <w:rPr>
          <w:b/>
        </w:rPr>
        <w:t xml:space="preserve">EXCLUSIONS: </w:t>
      </w:r>
      <w:r>
        <w:rPr>
          <w:i w:val="0"/>
        </w:rPr>
        <w:t>State roads and kerb and gutter on State roads (footpaths on State roads are included); assets owned by others; optional items not selected; structural assessment of retaining walls, bridges or structures; underground assets and stormwater drainage; design or delivery of repair, renewal or maintenance works; entry of data into Council's corporate systems (import-ready files are supplied).</w:t>
      </w:r>
    </w:p>
    <w:p>
      <w:pPr>
        <w:pStyle w:val="Heading1"/>
        <w:pBdr>
          <w:bottom w:val="single" w:sz="6" w:space="1" w:color="C9A227"/>
        </w:pBdr>
      </w:pPr>
      <w:r>
        <w:t>3   List of Assumptions</w:t>
      </w:r>
    </w:p>
    <w:p>
      <w:pPr>
        <w:pStyle w:val="ListBullet"/>
        <w:spacing w:after="40"/>
      </w:pPr>
      <w:r>
        <w:t>1. Award by 30/11/2026, Council data within five (5) business days of award, and Council reviews within five (5) business days; a later award or longer reviews move the program by the same period.</w:t>
      </w:r>
    </w:p>
    <w:p>
      <w:pPr>
        <w:pStyle w:val="ListBullet"/>
        <w:spacing w:after="40"/>
      </w:pPr>
      <w:r>
        <w:t>2. Field work in daylight hours, Monday to Friday, without lane closures; any lane closure Council requires is arranged by JCE and valued as a variation.</w:t>
      </w:r>
    </w:p>
    <w:p>
      <w:pPr>
        <w:pStyle w:val="ListBullet"/>
        <w:spacing w:after="40"/>
      </w:pPr>
      <w:r>
        <w:t>3. Artwork is valued at replacement cost on the same basis as other assets; a specialist art market valuation is excluded unless Council asks for it.</w:t>
      </w:r>
    </w:p>
    <w:p>
      <w:pPr>
        <w:pStyle w:val="ListBullet"/>
        <w:spacing w:after="40"/>
      </w:pPr>
      <w:r>
        <w:t>4. Retaining walls (optional) are assessed from the street and footpath only, as the Scope table describes.</w:t>
      </w:r>
    </w:p>
    <w:p>
      <w:pPr>
        <w:pStyle w:val="ListBullet"/>
        <w:spacing w:after="40"/>
      </w:pPr>
      <w:r>
        <w:t>5. One round of consolidated Council comments on each draft report; the valuation date is as Council confirms.</w:t>
      </w:r>
    </w:p>
    <w:p>
      <w:pPr>
        <w:pStyle w:val="Heading1"/>
        <w:pBdr>
          <w:bottom w:val="single" w:sz="6" w:space="1" w:color="C9A227"/>
        </w:pBdr>
      </w:pPr>
      <w:r>
        <w:t>4   Requested Amendments to Proposed Contract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836"/>
        <w:gridCol w:w="2295"/>
        <w:gridCol w:w="5507"/>
      </w:tblGrid>
      <w:tr>
        <w:trPr>
          <w:tblHeader/>
          <w:cantSplit/>
        </w:trPr>
        <w:tc>
          <w:tcPr>
            <w:tcW w:type="dxa" w:w="1836"/>
            <w:shd w:val="clear" w:color="auto" w:fill="000000"/>
          </w:tcPr>
          <w:p>
            <w:pPr>
              <w:keepNext/>
            </w:pPr>
            <w:r/>
            <w:r>
              <w:rPr>
                <w:b/>
                <w:color w:val="FFFFFF"/>
                <w:sz w:val="17"/>
              </w:rPr>
              <w:t>Clause No.</w:t>
            </w:r>
          </w:p>
        </w:tc>
        <w:tc>
          <w:tcPr>
            <w:tcW w:type="dxa" w:w="2295"/>
            <w:shd w:val="clear" w:color="auto" w:fill="000000"/>
          </w:tcPr>
          <w:p>
            <w:pPr>
              <w:keepNext/>
            </w:pPr>
            <w:r/>
            <w:r>
              <w:rPr>
                <w:b/>
                <w:color w:val="FFFFFF"/>
                <w:sz w:val="17"/>
              </w:rPr>
              <w:t>Clause Title</w:t>
            </w:r>
          </w:p>
        </w:tc>
        <w:tc>
          <w:tcPr>
            <w:tcW w:type="dxa" w:w="5507"/>
            <w:shd w:val="clear" w:color="auto" w:fill="000000"/>
          </w:tcPr>
          <w:p>
            <w:pPr>
              <w:keepNext/>
            </w:pPr>
            <w:r/>
            <w:r>
              <w:rPr>
                <w:b/>
                <w:color w:val="FFFFFF"/>
                <w:sz w:val="17"/>
              </w:rPr>
              <w:t>Requested Amendment</w:t>
            </w:r>
          </w:p>
        </w:tc>
      </w:tr>
      <w:tr>
        <w:trPr>
          <w:cantSplit/>
        </w:trPr>
        <w:tc>
          <w:tcPr>
            <w:tcW w:type="dxa" w:w="1836"/>
          </w:tcPr>
          <w:p>
            <w:pPr>
              <w:keepNext/>
              <w:spacing w:after="20"/>
            </w:pPr>
            <w:r/>
            <w:r>
              <w:rPr>
                <w:sz w:val="17"/>
              </w:rPr>
              <w:t>Schedule 1 (clause 8.3)</w:t>
            </w:r>
          </w:p>
        </w:tc>
        <w:tc>
          <w:tcPr>
            <w:tcW w:type="dxa" w:w="2295"/>
          </w:tcPr>
          <w:p>
            <w:pPr>
              <w:keepNext/>
              <w:spacing w:after="20"/>
            </w:pPr>
            <w:r/>
            <w:r>
              <w:rPr>
                <w:sz w:val="17"/>
              </w:rPr>
              <w:t>Payment Claims</w:t>
            </w:r>
          </w:p>
        </w:tc>
        <w:tc>
          <w:tcPr>
            <w:tcW w:type="dxa" w:w="5507"/>
          </w:tcPr>
          <w:p>
            <w:pPr>
              <w:keepNext/>
              <w:spacing w:after="20"/>
            </w:pPr>
            <w:r/>
            <w:r>
              <w:rPr>
                <w:sz w:val="17"/>
              </w:rPr>
              <w:t>Monthly payment claims against the stage lump sums in the Pricing Schedule (Schedule 1 leaves the claim times blank).</w:t>
            </w:r>
          </w:p>
        </w:tc>
      </w:tr>
      <w:tr>
        <w:trPr>
          <w:cantSplit/>
        </w:trPr>
        <w:tc>
          <w:tcPr>
            <w:tcW w:type="dxa" w:w="1836"/>
            <w:shd w:val="clear" w:color="auto" w:fill="F7F7F7"/>
          </w:tcPr>
          <w:p>
            <w:pPr>
              <w:spacing w:after="20"/>
            </w:pPr>
            <w:r/>
            <w:r>
              <w:rPr>
                <w:sz w:val="17"/>
              </w:rPr>
              <w:t>12.7</w:t>
            </w:r>
          </w:p>
        </w:tc>
        <w:tc>
          <w:tcPr>
            <w:tcW w:type="dxa" w:w="2295"/>
            <w:shd w:val="clear" w:color="auto" w:fill="F7F7F7"/>
          </w:tcPr>
          <w:p>
            <w:pPr>
              <w:spacing w:after="20"/>
            </w:pPr>
            <w:r/>
            <w:r>
              <w:rPr>
                <w:sz w:val="17"/>
              </w:rPr>
              <w:t>Insurances (Civil Liability Act)</w:t>
            </w:r>
          </w:p>
        </w:tc>
        <w:tc>
          <w:tcPr>
            <w:tcW w:type="dxa" w:w="5507"/>
            <w:shd w:val="clear" w:color="auto" w:fill="F7F7F7"/>
          </w:tcPr>
          <w:p>
            <w:pPr>
              <w:spacing w:after="20"/>
            </w:pPr>
            <w:r/>
            <w:r>
              <w:rPr>
                <w:sz w:val="17"/>
              </w:rPr>
              <w:t>[TBC - Jayden: delete this row unless you decide to request it] Delete the exclusion of Part 4 of the Civil Liability Act 2002 (NSW), so that proportionate liability applies.</w:t>
            </w:r>
          </w:p>
        </w:tc>
      </w:tr>
      <w:tr>
        <w:trPr>
          <w:cantSplit/>
        </w:trPr>
        <w:tc>
          <w:tcPr>
            <w:tcW w:type="dxa" w:w="1836"/>
          </w:tcPr>
          <w:p>
            <w:pPr>
              <w:spacing w:after="20"/>
            </w:pPr>
            <w:r/>
            <w:r>
              <w:rPr>
                <w:sz w:val="17"/>
              </w:rPr>
              <w:t>11.3 and Schedule 1</w:t>
            </w:r>
          </w:p>
        </w:tc>
        <w:tc>
          <w:tcPr>
            <w:tcW w:type="dxa" w:w="2295"/>
          </w:tcPr>
          <w:p>
            <w:pPr>
              <w:spacing w:after="20"/>
            </w:pPr>
            <w:r/>
            <w:r>
              <w:rPr>
                <w:sz w:val="17"/>
              </w:rPr>
              <w:t>Limitation of Liability</w:t>
            </w:r>
          </w:p>
        </w:tc>
        <w:tc>
          <w:tcPr>
            <w:tcW w:type="dxa" w:w="5507"/>
          </w:tcPr>
          <w:p>
            <w:pPr>
              <w:spacing w:after="20"/>
            </w:pPr>
            <w:r/>
            <w:r>
              <w:rPr>
                <w:sz w:val="17"/>
              </w:rPr>
              <w:t>[TBC - Jayden: delete this row unless you decide to request it] Limit liability to the greater of 100% of the Fee and the professional indemnity limit required by the Agreement.</w:t>
            </w:r>
          </w:p>
        </w:tc>
      </w:tr>
    </w:tbl>
    <w:p>
      <w:pPr>
        <w:spacing w:after="40"/>
      </w:pPr>
    </w:p>
    <w:p>
      <w:pPr>
        <w:pStyle w:val="Heading1"/>
        <w:pBdr>
          <w:bottom w:val="single" w:sz="6" w:space="1" w:color="C9A227"/>
        </w:pBdr>
      </w:pPr>
      <w:r>
        <w:t>5   Details of Insurance</w:t>
      </w:r>
    </w:p>
    <w:p>
      <w:r>
        <w:rPr>
          <w:i w:val="0"/>
        </w:rPr>
        <w:t>The Respondent confirms it can provide the insurances required below and acknowledges such insurances will be a requirement of the Agreement. Certificates of currency are attached.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567"/>
        <w:gridCol w:w="2194"/>
        <w:gridCol w:w="1175"/>
        <w:gridCol w:w="1724"/>
        <w:gridCol w:w="1097"/>
        <w:gridCol w:w="1881"/>
      </w:tblGrid>
      <w:tr>
        <w:trPr>
          <w:tblHeader/>
          <w:cantSplit/>
        </w:trPr>
        <w:tc>
          <w:tcPr>
            <w:tcW w:type="dxa" w:w="1567"/>
            <w:shd w:val="clear" w:color="auto" w:fill="000000"/>
          </w:tcPr>
          <w:p>
            <w:pPr>
              <w:keepNext/>
            </w:pPr>
            <w:r/>
            <w:r>
              <w:rPr>
                <w:b/>
                <w:color w:val="FFFFFF"/>
                <w:sz w:val="17"/>
              </w:rPr>
              <w:t>Insurance type</w:t>
            </w:r>
          </w:p>
        </w:tc>
        <w:tc>
          <w:tcPr>
            <w:tcW w:type="dxa" w:w="2194"/>
            <w:shd w:val="clear" w:color="auto" w:fill="000000"/>
          </w:tcPr>
          <w:p>
            <w:pPr>
              <w:keepNext/>
            </w:pPr>
            <w:r/>
            <w:r>
              <w:rPr>
                <w:b/>
                <w:color w:val="FFFFFF"/>
                <w:sz w:val="17"/>
              </w:rPr>
              <w:t>Per incident $A</w:t>
            </w:r>
          </w:p>
        </w:tc>
        <w:tc>
          <w:tcPr>
            <w:tcW w:type="dxa" w:w="1175"/>
            <w:shd w:val="clear" w:color="auto" w:fill="000000"/>
          </w:tcPr>
          <w:p>
            <w:pPr>
              <w:keepNext/>
            </w:pPr>
            <w:r/>
            <w:r>
              <w:rPr>
                <w:b/>
                <w:color w:val="FFFFFF"/>
                <w:sz w:val="17"/>
              </w:rPr>
              <w:t>Aggregate $A</w:t>
            </w:r>
          </w:p>
        </w:tc>
        <w:tc>
          <w:tcPr>
            <w:tcW w:type="dxa" w:w="1724"/>
            <w:shd w:val="clear" w:color="auto" w:fill="000000"/>
          </w:tcPr>
          <w:p>
            <w:pPr>
              <w:keepNext/>
            </w:pPr>
            <w:r/>
            <w:r>
              <w:rPr>
                <w:b/>
                <w:color w:val="FFFFFF"/>
                <w:sz w:val="17"/>
              </w:rPr>
              <w:t>Policy No.</w:t>
            </w:r>
          </w:p>
        </w:tc>
        <w:tc>
          <w:tcPr>
            <w:tcW w:type="dxa" w:w="1097"/>
            <w:shd w:val="clear" w:color="auto" w:fill="000000"/>
          </w:tcPr>
          <w:p>
            <w:pPr>
              <w:keepNext/>
            </w:pPr>
            <w:r/>
            <w:r>
              <w:rPr>
                <w:b/>
                <w:color w:val="FFFFFF"/>
                <w:sz w:val="17"/>
              </w:rPr>
              <w:t>Expiry date</w:t>
            </w:r>
          </w:p>
        </w:tc>
        <w:tc>
          <w:tcPr>
            <w:tcW w:type="dxa" w:w="1881"/>
            <w:shd w:val="clear" w:color="auto" w:fill="000000"/>
          </w:tcPr>
          <w:p>
            <w:pPr>
              <w:keepNext/>
            </w:pPr>
            <w:r/>
            <w:r>
              <w:rPr>
                <w:b/>
                <w:color w:val="FFFFFF"/>
                <w:sz w:val="17"/>
              </w:rPr>
              <w:t>Name of insurer</w:t>
            </w:r>
          </w:p>
        </w:tc>
      </w:tr>
      <w:tr>
        <w:trPr>
          <w:cantSplit/>
        </w:trPr>
        <w:tc>
          <w:tcPr>
            <w:tcW w:type="dxa" w:w="1567"/>
          </w:tcPr>
          <w:p>
            <w:pPr>
              <w:keepNext/>
              <w:spacing w:after="20"/>
            </w:pPr>
            <w:r/>
            <w:r>
              <w:rPr>
                <w:sz w:val="17"/>
              </w:rPr>
              <w:t>Public Liability</w:t>
            </w:r>
          </w:p>
        </w:tc>
        <w:tc>
          <w:tcPr>
            <w:tcW w:type="dxa" w:w="2194"/>
          </w:tcPr>
          <w:p>
            <w:pPr>
              <w:keepNext/>
              <w:spacing w:after="20"/>
            </w:pPr>
            <w:r/>
            <w:r>
              <w:rPr>
                <w:sz w:val="17"/>
              </w:rPr>
              <w:t>$20m (JCE holds $10m now and will lift to $20m on award, before the Services commence)</w:t>
            </w:r>
          </w:p>
        </w:tc>
        <w:tc>
          <w:tcPr>
            <w:tcW w:type="dxa" w:w="1175"/>
          </w:tcPr>
          <w:p>
            <w:pPr>
              <w:keepNext/>
              <w:spacing w:after="20"/>
            </w:pPr>
            <w:r/>
            <w:r>
              <w:rPr>
                <w:sz w:val="17"/>
              </w:rPr>
              <w:t>N/A</w:t>
            </w:r>
          </w:p>
        </w:tc>
        <w:tc>
          <w:tcPr>
            <w:tcW w:type="dxa" w:w="1724"/>
          </w:tcPr>
          <w:p>
            <w:pPr>
              <w:keepNext/>
              <w:spacing w:after="20"/>
            </w:pPr>
            <w:r/>
            <w:r>
              <w:rPr>
                <w:sz w:val="17"/>
              </w:rPr>
              <w:t>05-ENG-I-0077656</w:t>
            </w:r>
          </w:p>
        </w:tc>
        <w:tc>
          <w:tcPr>
            <w:tcW w:type="dxa" w:w="1097"/>
          </w:tcPr>
          <w:p>
            <w:pPr>
              <w:keepNext/>
              <w:spacing w:after="20"/>
            </w:pPr>
            <w:r/>
            <w:r>
              <w:rPr>
                <w:sz w:val="17"/>
              </w:rPr>
              <w:t>02/07/2027</w:t>
            </w:r>
          </w:p>
        </w:tc>
        <w:tc>
          <w:tcPr>
            <w:tcW w:type="dxa" w:w="1881"/>
          </w:tcPr>
          <w:p>
            <w:pPr>
              <w:keepNext/>
              <w:spacing w:after="20"/>
            </w:pPr>
            <w:r/>
            <w:r>
              <w:rPr>
                <w:sz w:val="17"/>
              </w:rPr>
              <w:t>Zurich Australian Insurance Limited</w:t>
            </w:r>
          </w:p>
        </w:tc>
      </w:tr>
      <w:tr>
        <w:trPr>
          <w:cantSplit/>
        </w:trPr>
        <w:tc>
          <w:tcPr>
            <w:tcW w:type="dxa" w:w="1567"/>
            <w:shd w:val="clear" w:color="auto" w:fill="F7F7F7"/>
          </w:tcPr>
          <w:p>
            <w:pPr>
              <w:spacing w:after="20"/>
            </w:pPr>
            <w:r/>
            <w:r>
              <w:rPr>
                <w:sz w:val="17"/>
              </w:rPr>
              <w:t>Workers Compensation</w:t>
            </w:r>
          </w:p>
        </w:tc>
        <w:tc>
          <w:tcPr>
            <w:tcW w:type="dxa" w:w="2194"/>
            <w:shd w:val="clear" w:color="auto" w:fill="F7F7F7"/>
          </w:tcPr>
          <w:p>
            <w:pPr>
              <w:spacing w:after="20"/>
            </w:pPr>
            <w:r/>
            <w:r>
              <w:rPr>
                <w:sz w:val="17"/>
              </w:rPr>
              <w:t>As per law</w:t>
            </w:r>
          </w:p>
        </w:tc>
        <w:tc>
          <w:tcPr>
            <w:tcW w:type="dxa" w:w="1175"/>
            <w:shd w:val="clear" w:color="auto" w:fill="F7F7F7"/>
          </w:tcPr>
          <w:p>
            <w:pPr>
              <w:spacing w:after="20"/>
            </w:pPr>
            <w:r/>
            <w:r>
              <w:rPr>
                <w:sz w:val="17"/>
              </w:rPr>
              <w:t>As per law</w:t>
            </w:r>
          </w:p>
        </w:tc>
        <w:tc>
          <w:tcPr>
            <w:tcW w:type="dxa" w:w="1724"/>
            <w:shd w:val="clear" w:color="auto" w:fill="F7F7F7"/>
          </w:tcPr>
          <w:p>
            <w:pPr>
              <w:spacing w:after="20"/>
            </w:pPr>
            <w:r/>
            <w:r>
              <w:rPr>
                <w:sz w:val="17"/>
              </w:rPr>
              <w:t>[TBC - Jayden: icare policy no.]</w:t>
            </w:r>
          </w:p>
        </w:tc>
        <w:tc>
          <w:tcPr>
            <w:tcW w:type="dxa" w:w="1097"/>
            <w:shd w:val="clear" w:color="auto" w:fill="F7F7F7"/>
          </w:tcPr>
          <w:p>
            <w:pPr>
              <w:spacing w:after="20"/>
            </w:pPr>
            <w:r/>
            <w:r>
              <w:rPr>
                <w:sz w:val="17"/>
              </w:rPr>
              <w:t>[TBC - Jayden]</w:t>
            </w:r>
          </w:p>
        </w:tc>
        <w:tc>
          <w:tcPr>
            <w:tcW w:type="dxa" w:w="1881"/>
            <w:shd w:val="clear" w:color="auto" w:fill="F7F7F7"/>
          </w:tcPr>
          <w:p>
            <w:pPr>
              <w:spacing w:after="20"/>
            </w:pPr>
            <w:r/>
            <w:r>
              <w:rPr>
                <w:sz w:val="17"/>
              </w:rPr>
              <w:t>icare NSW</w:t>
            </w:r>
          </w:p>
        </w:tc>
      </w:tr>
      <w:tr>
        <w:trPr>
          <w:cantSplit/>
        </w:trPr>
        <w:tc>
          <w:tcPr>
            <w:tcW w:type="dxa" w:w="1567"/>
          </w:tcPr>
          <w:p>
            <w:pPr>
              <w:spacing w:after="20"/>
            </w:pPr>
            <w:r/>
            <w:r>
              <w:rPr>
                <w:sz w:val="17"/>
              </w:rPr>
              <w:t>Professional Indemnity</w:t>
            </w:r>
          </w:p>
        </w:tc>
        <w:tc>
          <w:tcPr>
            <w:tcW w:type="dxa" w:w="2194"/>
          </w:tcPr>
          <w:p>
            <w:pPr>
              <w:spacing w:after="20"/>
            </w:pPr>
            <w:r/>
            <w:r>
              <w:rPr>
                <w:sz w:val="17"/>
              </w:rPr>
              <w:t>$10,000,000</w:t>
            </w:r>
          </w:p>
        </w:tc>
        <w:tc>
          <w:tcPr>
            <w:tcW w:type="dxa" w:w="1175"/>
          </w:tcPr>
          <w:p>
            <w:pPr>
              <w:spacing w:after="20"/>
            </w:pPr>
            <w:r/>
            <w:r>
              <w:rPr>
                <w:sz w:val="17"/>
              </w:rPr>
              <w:t>$20,000,000</w:t>
            </w:r>
          </w:p>
        </w:tc>
        <w:tc>
          <w:tcPr>
            <w:tcW w:type="dxa" w:w="1724"/>
          </w:tcPr>
          <w:p>
            <w:pPr>
              <w:spacing w:after="20"/>
            </w:pPr>
            <w:r/>
            <w:r>
              <w:rPr>
                <w:sz w:val="17"/>
              </w:rPr>
              <w:t>05-ENG-I-0077656</w:t>
            </w:r>
          </w:p>
        </w:tc>
        <w:tc>
          <w:tcPr>
            <w:tcW w:type="dxa" w:w="1097"/>
          </w:tcPr>
          <w:p>
            <w:pPr>
              <w:spacing w:after="20"/>
            </w:pPr>
            <w:r/>
            <w:r>
              <w:rPr>
                <w:sz w:val="17"/>
              </w:rPr>
              <w:t>02/07/2027</w:t>
            </w:r>
          </w:p>
        </w:tc>
        <w:tc>
          <w:tcPr>
            <w:tcW w:type="dxa" w:w="1881"/>
          </w:tcPr>
          <w:p>
            <w:pPr>
              <w:spacing w:after="20"/>
            </w:pPr>
            <w:r/>
            <w:r>
              <w:rPr>
                <w:sz w:val="17"/>
              </w:rPr>
              <w:t>Certain Underwriters at Lloyd's (Markel Syndicate 3000)</w:t>
            </w:r>
          </w:p>
        </w:tc>
      </w:tr>
      <w:tr>
        <w:trPr>
          <w:cantSplit/>
        </w:trPr>
        <w:tc>
          <w:tcPr>
            <w:tcW w:type="dxa" w:w="1567"/>
            <w:shd w:val="clear" w:color="auto" w:fill="F7F7F7"/>
          </w:tcPr>
          <w:p>
            <w:pPr>
              <w:spacing w:after="20"/>
            </w:pPr>
            <w:r/>
            <w:r>
              <w:rPr>
                <w:sz w:val="17"/>
              </w:rPr>
              <w:t>Motor Vehicle</w:t>
            </w:r>
          </w:p>
        </w:tc>
        <w:tc>
          <w:tcPr>
            <w:tcW w:type="dxa" w:w="2194"/>
            <w:shd w:val="clear" w:color="auto" w:fill="F7F7F7"/>
          </w:tcPr>
          <w:p>
            <w:pPr>
              <w:spacing w:after="20"/>
            </w:pPr>
            <w:r/>
            <w:r>
              <w:rPr>
                <w:sz w:val="17"/>
              </w:rPr>
              <w:t>Per certificate</w:t>
            </w:r>
          </w:p>
        </w:tc>
        <w:tc>
          <w:tcPr>
            <w:tcW w:type="dxa" w:w="1175"/>
            <w:shd w:val="clear" w:color="auto" w:fill="F7F7F7"/>
          </w:tcPr>
          <w:p>
            <w:pPr>
              <w:spacing w:after="20"/>
            </w:pPr>
            <w:r/>
            <w:r>
              <w:rPr>
                <w:sz w:val="17"/>
              </w:rPr>
              <w:t>Per certificate</w:t>
            </w:r>
          </w:p>
        </w:tc>
        <w:tc>
          <w:tcPr>
            <w:tcW w:type="dxa" w:w="1724"/>
            <w:shd w:val="clear" w:color="auto" w:fill="F7F7F7"/>
          </w:tcPr>
          <w:p>
            <w:pPr>
              <w:spacing w:after="20"/>
            </w:pPr>
            <w:r/>
            <w:r>
              <w:rPr>
                <w:sz w:val="17"/>
              </w:rPr>
              <w:t>[TBC - Jayden: from NRMA certificate 18/09/2026]</w:t>
            </w:r>
          </w:p>
        </w:tc>
        <w:tc>
          <w:tcPr>
            <w:tcW w:type="dxa" w:w="1097"/>
            <w:shd w:val="clear" w:color="auto" w:fill="F7F7F7"/>
          </w:tcPr>
          <w:p>
            <w:pPr>
              <w:spacing w:after="20"/>
            </w:pPr>
            <w:r/>
            <w:r>
              <w:rPr>
                <w:sz w:val="17"/>
              </w:rPr>
              <w:t>[TBC - Jayden]</w:t>
            </w:r>
          </w:p>
        </w:tc>
        <w:tc>
          <w:tcPr>
            <w:tcW w:type="dxa" w:w="1881"/>
            <w:shd w:val="clear" w:color="auto" w:fill="F7F7F7"/>
          </w:tcPr>
          <w:p>
            <w:pPr>
              <w:spacing w:after="20"/>
            </w:pPr>
            <w:r/>
            <w:r>
              <w:rPr>
                <w:sz w:val="17"/>
              </w:rPr>
              <w:t>NRMA Insurance</w:t>
            </w:r>
          </w:p>
        </w:tc>
      </w:tr>
      <w:tr>
        <w:trPr>
          <w:cantSplit/>
        </w:trPr>
        <w:tc>
          <w:tcPr>
            <w:tcW w:type="dxa" w:w="1567"/>
          </w:tcPr>
          <w:p>
            <w:pPr>
              <w:spacing w:after="20"/>
            </w:pPr>
            <w:r/>
            <w:r>
              <w:rPr>
                <w:sz w:val="17"/>
              </w:rPr>
              <w:t>Contract Insurance</w:t>
            </w:r>
          </w:p>
        </w:tc>
        <w:tc>
          <w:tcPr>
            <w:tcW w:type="dxa" w:w="2194"/>
          </w:tcPr>
          <w:p>
            <w:pPr>
              <w:spacing w:after="20"/>
            </w:pPr>
            <w:r/>
            <w:r>
              <w:rPr>
                <w:sz w:val="17"/>
              </w:rPr>
              <w:t>Not applicable (professional services)</w:t>
            </w:r>
          </w:p>
        </w:tc>
        <w:tc>
          <w:tcPr>
            <w:tcW w:type="dxa" w:w="1175"/>
          </w:tcPr>
          <w:p>
            <w:pPr>
              <w:spacing w:after="20"/>
            </w:pPr>
            <w:r/>
            <w:r>
              <w:rPr>
                <w:sz w:val="17"/>
              </w:rPr>
              <w:t>-</w:t>
            </w:r>
          </w:p>
        </w:tc>
        <w:tc>
          <w:tcPr>
            <w:tcW w:type="dxa" w:w="1724"/>
          </w:tcPr>
          <w:p>
            <w:pPr>
              <w:spacing w:after="20"/>
            </w:pPr>
            <w:r/>
            <w:r>
              <w:rPr>
                <w:sz w:val="17"/>
              </w:rPr>
              <w:t>-</w:t>
            </w:r>
          </w:p>
        </w:tc>
        <w:tc>
          <w:tcPr>
            <w:tcW w:type="dxa" w:w="1097"/>
          </w:tcPr>
          <w:p>
            <w:pPr>
              <w:spacing w:after="20"/>
            </w:pPr>
            <w:r/>
            <w:r>
              <w:rPr>
                <w:sz w:val="17"/>
              </w:rPr>
              <w:t>-</w:t>
            </w:r>
          </w:p>
        </w:tc>
        <w:tc>
          <w:tcPr>
            <w:tcW w:type="dxa" w:w="1881"/>
          </w:tcPr>
          <w:p>
            <w:pPr>
              <w:spacing w:after="20"/>
            </w:pPr>
            <w:r/>
            <w:r>
              <w:rPr>
                <w:sz w:val="17"/>
              </w:rPr>
              <w:t>-</w:t>
            </w:r>
          </w:p>
        </w:tc>
      </w:tr>
    </w:tbl>
    <w:p>
      <w:pPr>
        <w:spacing w:after="40"/>
      </w:pP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Conserve Contractor ID</w:t>
            </w:r>
          </w:p>
        </w:tc>
        <w:tc>
          <w:tcPr>
            <w:tcW w:type="dxa" w:w="6626"/>
          </w:tcPr>
          <w:p>
            <w:pPr>
              <w:spacing w:after="20"/>
            </w:pPr>
            <w:r/>
            <w:r>
              <w:rPr>
                <w:sz w:val="18"/>
              </w:rPr>
              <w:t>Not registered. JCE will register with BNG Conserve if requested after award (clause 12.6).</w:t>
            </w:r>
          </w:p>
        </w:tc>
      </w:tr>
    </w:tbl>
    <w:p>
      <w:pPr>
        <w:spacing w:after="40"/>
      </w:pPr>
    </w:p>
    <w:p>
      <w:pPr>
        <w:pStyle w:val="Heading1"/>
        <w:pBdr>
          <w:bottom w:val="single" w:sz="6" w:space="1" w:color="C9A227"/>
        </w:pBdr>
      </w:pPr>
      <w:r>
        <w:t>6   Proposed Methodology</w:t>
      </w:r>
    </w:p>
    <w:p>
      <w:r>
        <w:rPr>
          <w:i w:val="0"/>
        </w:rPr>
        <w:t>Methodology to identify works with contract award anticipated in November 2026 and completion no later than 31 March 2027: see the attached JCE fee proposal (JCE_FP_VP527819_Final_RevF.pdf), Section 2.0 (six stages and two Council hold points), Section 2.1 (proposed data capture and GIS system: capture platform, mapping-grade DGPS to 1 m with GPS feature metadata, 5 MP geo-referenced photographs with embedded metadata, segment convention, Excel and ESRI shapefile outputs in MGA Zone 56 GDA2020 with data dictionary and metadata, geometry checks, TechnologyOne and IntraMaps or QGIS compatibility), Section 2.2 (data audit and verification) and Section 2.3 (risks). Optional Service A methodology is in Section 7.0.</w:t>
      </w:r>
    </w:p>
    <w:p>
      <w:pPr>
        <w:pStyle w:val="Heading1"/>
        <w:pBdr>
          <w:bottom w:val="single" w:sz="6" w:space="1" w:color="C9A227"/>
        </w:pBdr>
      </w:pPr>
      <w:r>
        <w:t>7   Proposed Schedule</w:t>
      </w:r>
    </w:p>
    <w:p>
      <w:r>
        <w:rPr>
          <w:i w:val="0"/>
        </w:rPr>
        <w:t>Schedule to identify works with contract award anticipated in November 2026 and completion no later than 31 March 2027. Start date: award, assumed 30/11/2026. Key milestones: inception and field trial 08/12/2026 to 09/12/2026; pilot 11/01/2027 to 22/01/2027; pilot approval 28/01/2027; network capture 01/02/2027 to 05/03/2027; audit data complete 12/03/2027; draft revaluation 19/03/2027. Report submission and workshop: workshop 24/03/2027. Practical completion: final report and final revaluation report 31/03/2027. Optional Service A by 30/06/2027. Full table in the fee proposal, Section 4.0.</w:t>
      </w: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8   Acknowledgement of RFT Addenda</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2339"/>
        <w:gridCol w:w="5614"/>
        <w:gridCol w:w="1684"/>
      </w:tblGrid>
      <w:tr>
        <w:trPr>
          <w:tblHeader/>
          <w:cantSplit/>
        </w:trPr>
        <w:tc>
          <w:tcPr>
            <w:tcW w:type="dxa" w:w="2339"/>
            <w:shd w:val="clear" w:color="auto" w:fill="000000"/>
          </w:tcPr>
          <w:p>
            <w:pPr>
              <w:keepNext/>
            </w:pPr>
            <w:r/>
            <w:r>
              <w:rPr>
                <w:b/>
                <w:color w:val="FFFFFF"/>
                <w:sz w:val="17"/>
              </w:rPr>
              <w:t>Addenda Number</w:t>
            </w:r>
          </w:p>
        </w:tc>
        <w:tc>
          <w:tcPr>
            <w:tcW w:type="dxa" w:w="5614"/>
            <w:shd w:val="clear" w:color="auto" w:fill="000000"/>
          </w:tcPr>
          <w:p>
            <w:pPr>
              <w:keepNext/>
            </w:pPr>
            <w:r/>
            <w:r>
              <w:rPr>
                <w:b/>
                <w:color w:val="FFFFFF"/>
                <w:sz w:val="17"/>
              </w:rPr>
              <w:t>Brief Description</w:t>
            </w:r>
          </w:p>
        </w:tc>
        <w:tc>
          <w:tcPr>
            <w:tcW w:type="dxa" w:w="1684"/>
            <w:shd w:val="clear" w:color="auto" w:fill="000000"/>
          </w:tcPr>
          <w:p>
            <w:pPr>
              <w:keepNext/>
            </w:pPr>
            <w:r/>
            <w:r>
              <w:rPr>
                <w:b/>
                <w:color w:val="FFFFFF"/>
                <w:sz w:val="17"/>
              </w:rPr>
              <w:t>Date Received</w:t>
            </w:r>
          </w:p>
        </w:tc>
      </w:tr>
      <w:tr>
        <w:trPr>
          <w:cantSplit/>
        </w:trPr>
        <w:tc>
          <w:tcPr>
            <w:tcW w:type="dxa" w:w="2339"/>
          </w:tcPr>
          <w:p>
            <w:pPr>
              <w:keepNext/>
              <w:spacing w:after="20"/>
            </w:pPr>
            <w:r/>
            <w:r>
              <w:rPr>
                <w:sz w:val="17"/>
              </w:rPr>
              <w:t>VendorPanel notice (no addendum number)</w:t>
            </w:r>
          </w:p>
        </w:tc>
        <w:tc>
          <w:tcPr>
            <w:tcW w:type="dxa" w:w="5614"/>
          </w:tcPr>
          <w:p>
            <w:pPr>
              <w:keepNext/>
              <w:spacing w:after="20"/>
            </w:pPr>
            <w:r/>
            <w:r>
              <w:rPr>
                <w:sz w:val="17"/>
              </w:rPr>
              <w:t>Closing date extended to 2:00 pm Wednesday 28 October 2026; Council advises no further extensions.</w:t>
            </w:r>
          </w:p>
        </w:tc>
        <w:tc>
          <w:tcPr>
            <w:tcW w:type="dxa" w:w="1684"/>
          </w:tcPr>
          <w:p>
            <w:pPr>
              <w:keepNext/>
              <w:spacing w:after="20"/>
            </w:pPr>
            <w:r/>
            <w:r>
              <w:rPr>
                <w:sz w:val="17"/>
              </w:rPr>
              <w:t>09/10/2026</w:t>
            </w:r>
          </w:p>
        </w:tc>
      </w:tr>
      <w:tr>
        <w:trPr>
          <w:cantSplit/>
        </w:trPr>
        <w:tc>
          <w:tcPr>
            <w:tcW w:type="dxa" w:w="2339"/>
            <w:shd w:val="clear" w:color="auto" w:fill="F7F7F7"/>
          </w:tcPr>
          <w:p>
            <w:pPr>
              <w:spacing w:after="20"/>
            </w:pPr>
            <w:r/>
            <w:r>
              <w:rPr>
                <w:sz w:val="17"/>
              </w:rPr>
              <w:t>[TBC - Jayden]</w:t>
            </w:r>
          </w:p>
        </w:tc>
        <w:tc>
          <w:tcPr>
            <w:tcW w:type="dxa" w:w="5614"/>
            <w:shd w:val="clear" w:color="auto" w:fill="F7F7F7"/>
          </w:tcPr>
          <w:p>
            <w:pPr>
              <w:spacing w:after="20"/>
            </w:pPr>
            <w:r/>
            <w:r>
              <w:rPr>
                <w:sz w:val="17"/>
              </w:rPr>
              <w:t>No addenda issued as at 12/10/2026. Re-check VendorPanel (Members &gt; View all Tenders &gt; RFT-47) before lodging and list any received.</w:t>
            </w:r>
          </w:p>
        </w:tc>
        <w:tc>
          <w:tcPr>
            <w:tcW w:type="dxa" w:w="1684"/>
            <w:shd w:val="clear" w:color="auto" w:fill="F7F7F7"/>
          </w:tcPr>
          <w:p>
            <w:pPr>
              <w:spacing w:after="20"/>
            </w:pPr>
            <w:r/>
            <w:r>
              <w:rPr>
                <w:sz w:val="17"/>
              </w:rPr>
            </w:r>
          </w:p>
        </w:tc>
      </w:tr>
    </w:tbl>
    <w:p>
      <w:pPr>
        <w:spacing w:after="40"/>
      </w:pPr>
    </w:p>
    <w:p>
      <w:pPr>
        <w:pStyle w:val="Heading1"/>
        <w:pBdr>
          <w:bottom w:val="single" w:sz="6" w:space="1" w:color="C9A227"/>
        </w:pBdr>
      </w:pPr>
      <w:r>
        <w:t>9   Declaration of Site Inspection</w:t>
      </w:r>
    </w:p>
    <w:p>
      <w:r>
        <w:rPr>
          <w:i w:val="0"/>
        </w:rPr>
        <w:t>The Respondent confirms that it has, of its own accord, inspected the proposed work site (various locations in the Inner West LGA) and has acquired a sound knowledge of the physical characteristics of the site and surrounding areas and any consequential procedures, processes and legislative requirements.</w:t>
      </w:r>
    </w:p>
    <w:p>
      <w:r>
        <w:rPr>
          <w:i w:val="0"/>
        </w:rPr>
        <w:t>[TBC - Jayden: inspect a representative sample of the network (for example a town centre such as Marrickville or Leichhardt, a residential area and a Council car park) before signing. Record the date and areas here. Do not sign until the inspection is done.]</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Signed</w:t>
            </w:r>
          </w:p>
        </w:tc>
        <w:tc>
          <w:tcPr>
            <w:tcW w:type="dxa" w:w="6626"/>
          </w:tcPr>
          <w:p>
            <w:pPr>
              <w:spacing w:after="20"/>
            </w:pPr>
            <w:r/>
            <w:r>
              <w:rPr>
                <w:sz w:val="18"/>
              </w:rPr>
              <w:t>[signature]  Jayden Callen, Director</w:t>
            </w:r>
          </w:p>
        </w:tc>
      </w:tr>
      <w:tr>
        <w:trPr>
          <w:cantSplit/>
        </w:trPr>
        <w:tc>
          <w:tcPr>
            <w:tcW w:type="dxa" w:w="3012"/>
            <w:shd w:val="clear" w:color="auto" w:fill="F3E9C6"/>
          </w:tcPr>
          <w:p>
            <w:r/>
            <w:r>
              <w:rPr>
                <w:b/>
                <w:sz w:val="18"/>
              </w:rPr>
              <w:t>Date of inspection</w:t>
            </w:r>
          </w:p>
        </w:tc>
        <w:tc>
          <w:tcPr>
            <w:tcW w:type="dxa" w:w="6626"/>
          </w:tcPr>
          <w:p>
            <w:pPr>
              <w:spacing w:after="20"/>
            </w:pPr>
            <w:r/>
            <w:r>
              <w:rPr>
                <w:sz w:val="18"/>
              </w:rPr>
              <w:t>[TBC - Jayden]</w:t>
            </w:r>
          </w:p>
        </w:tc>
      </w:tr>
    </w:tbl>
    <w:p>
      <w:pPr>
        <w:spacing w:after="40"/>
      </w:pPr>
    </w:p>
    <w:p>
      <w:pPr>
        <w:pStyle w:val="Heading1"/>
        <w:pBdr>
          <w:bottom w:val="single" w:sz="6" w:space="1" w:color="C9A227"/>
        </w:pBdr>
      </w:pPr>
      <w:r>
        <w:t>10   Company Profile</w:t>
      </w:r>
    </w:p>
    <w:p>
      <w:r>
        <w:rPr>
          <w:i w:val="0"/>
        </w:rPr>
        <w:t>JCE Infrastructure Pty Ltd is a principal-led civil and hydraulic engineering consultancy based in Gunnedah, NSW, serving councils, developers and consulting firms across NSW and Queensland. The company was incorporated in 2026, building on a design practice operated since March 2024. Its Director, Jayden Callen, BEng (Hons), MIEAust, has more than eight years of experience in Defence infrastructure, land development, roads and pavements, stormwater and water infrastructure, including design management of multidisciplinary teams and subconsultants. JCE works with associates and specialist partners; for this contract it will engage a field data capture partner and a qualified valuer as approved subcontractors.</w:t>
      </w:r>
    </w:p>
    <w:p>
      <w:pPr>
        <w:pStyle w:val="ListBullet"/>
        <w:spacing w:after="40"/>
      </w:pPr>
      <w:r>
        <w:rPr>
          <w:b/>
        </w:rPr>
        <w:t xml:space="preserve">Size: </w:t>
      </w:r>
      <w:r>
        <w:t>Director-led company with associates and specialist subconsultants. [TBC - Jayden: number of staff and associates]</w:t>
      </w:r>
    </w:p>
    <w:p>
      <w:pPr>
        <w:pStyle w:val="ListBullet"/>
        <w:spacing w:after="40"/>
      </w:pPr>
      <w:r>
        <w:rPr>
          <w:b/>
        </w:rPr>
        <w:t xml:space="preserve">Corporate structure: </w:t>
      </w:r>
      <w:r>
        <w:t>Proprietary limited company; Jayden Callen is Director. [TBC - Jayden: confirm shareholding wording]</w:t>
      </w:r>
    </w:p>
    <w:p>
      <w:pPr>
        <w:pStyle w:val="ListBullet"/>
        <w:spacing w:after="40"/>
      </w:pPr>
      <w:r>
        <w:rPr>
          <w:b/>
        </w:rPr>
        <w:t xml:space="preserve">History: </w:t>
      </w:r>
      <w:r>
        <w:t>Design practice from March 2024; incorporated 2026.</w:t>
      </w:r>
    </w:p>
    <w:p>
      <w:pPr>
        <w:pStyle w:val="ListBullet"/>
        <w:spacing w:after="40"/>
      </w:pPr>
      <w:r>
        <w:rPr>
          <w:b/>
        </w:rPr>
        <w:t xml:space="preserve">Expertise: </w:t>
      </w:r>
      <w:r>
        <w:t>Civil design and design management, roads and pavements, stormwater and flooding, water and sewer, construction-phase inspection and quality assurance, engineer's estimates and bills of quantities, Civil 3D and GIS data management.</w:t>
      </w:r>
    </w:p>
    <w:p>
      <w:pPr>
        <w:pStyle w:val="ListBullet"/>
        <w:spacing w:after="40"/>
      </w:pPr>
      <w:r>
        <w:rPr>
          <w:b/>
        </w:rPr>
        <w:t xml:space="preserve">Value added: </w:t>
      </w:r>
      <w:r>
        <w:t>Principal-led delivery with one point of contact; independent JCE QA of all field data; engineering-based unit rates and remaining lives; practical maintenance and renewal programs; two Council hold points before network capture.</w:t>
      </w:r>
    </w:p>
    <w:p>
      <w:r>
        <w:rPr>
          <w:i w:val="0"/>
        </w:rPr>
        <w:t>Our organisation has the capacity to deliver the project condition audit data, spatial layers and comprehensive revaluation reports as outlined in the brief by 31/03/2027. [TBC - Jayden: keep this statement only once the data capture partner has committed crews in its quote.]</w:t>
      </w:r>
    </w:p>
    <w:p>
      <w:pPr>
        <w:pStyle w:val="Heading1"/>
        <w:pBdr>
          <w:bottom w:val="single" w:sz="6" w:space="1" w:color="C9A227"/>
        </w:pBdr>
      </w:pPr>
      <w:r>
        <w:t>11   Respondents Experience</w:t>
      </w:r>
    </w:p>
    <w:p>
      <w:r>
        <w:rPr>
          <w:i w:val="0"/>
        </w:rPr>
        <w:t>[TBC - Jayden: at least three similar projects in the last five years with referees. JCE has none of its own; use the data capture and valuation partners' projects from their quotes (due 21/10/2026), labelled as the partner's projects, with referees who have agreed to be contacted.]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819"/>
        <w:gridCol w:w="4819"/>
      </w:tblGrid>
      <w:tr>
        <w:trPr>
          <w:tblHeader/>
          <w:cantSplit/>
        </w:trPr>
        <w:tc>
          <w:tcPr>
            <w:tcW w:type="dxa" w:w="4819"/>
            <w:shd w:val="clear" w:color="auto" w:fill="000000"/>
          </w:tcPr>
          <w:p>
            <w:pPr>
              <w:keepNext/>
            </w:pPr>
            <w:r/>
            <w:r>
              <w:rPr>
                <w:b/>
                <w:color w:val="FFFFFF"/>
                <w:sz w:val="17"/>
              </w:rPr>
              <w:t>Previous project</w:t>
            </w:r>
          </w:p>
        </w:tc>
        <w:tc>
          <w:tcPr>
            <w:tcW w:type="dxa" w:w="4819"/>
            <w:shd w:val="clear" w:color="auto" w:fill="000000"/>
          </w:tcPr>
          <w:p>
            <w:pPr>
              <w:keepNext/>
            </w:pPr>
            <w:r/>
            <w:r>
              <w:rPr>
                <w:b/>
                <w:color w:val="FFFFFF"/>
                <w:sz w:val="17"/>
              </w:rPr>
              <w:t>Referee contact details</w:t>
            </w:r>
          </w:p>
        </w:tc>
      </w:tr>
      <w:tr>
        <w:trPr>
          <w:cantSplit/>
        </w:trPr>
        <w:tc>
          <w:tcPr>
            <w:tcW w:type="dxa" w:w="4819"/>
          </w:tcPr>
          <w:p>
            <w:pPr>
              <w:keepNext/>
              <w:spacing w:after="20"/>
            </w:pPr>
            <w:r/>
            <w:r>
              <w:rPr>
                <w:sz w:val="17"/>
              </w:rPr>
              <w:t>Contract Name: [TBC]</w:t>
            </w:r>
          </w:p>
          <w:p>
            <w:pPr>
              <w:keepNext/>
              <w:spacing w:after="20"/>
            </w:pPr>
            <w:r>
              <w:rPr>
                <w:sz w:val="17"/>
              </w:rPr>
              <w:t>Description: [TBC]</w:t>
            </w:r>
          </w:p>
          <w:p>
            <w:pPr>
              <w:keepNext/>
              <w:spacing w:after="20"/>
            </w:pPr>
            <w:r>
              <w:rPr>
                <w:sz w:val="17"/>
              </w:rPr>
              <w:t>Location: [TBC]</w:t>
            </w:r>
          </w:p>
          <w:p>
            <w:pPr>
              <w:keepNext/>
              <w:spacing w:after="20"/>
            </w:pPr>
            <w:r>
              <w:rPr>
                <w:sz w:val="17"/>
              </w:rPr>
              <w:t>Value: [TBC]</w:t>
            </w:r>
          </w:p>
          <w:p>
            <w:pPr>
              <w:keepNext/>
              <w:spacing w:after="20"/>
            </w:pPr>
            <w:r>
              <w:rPr>
                <w:sz w:val="17"/>
              </w:rPr>
              <w:t>Date undertaken: [TBC]</w:t>
            </w:r>
          </w:p>
        </w:tc>
        <w:tc>
          <w:tcPr>
            <w:tcW w:type="dxa" w:w="4819"/>
          </w:tcPr>
          <w:p>
            <w:pPr>
              <w:keepNext/>
              <w:spacing w:after="20"/>
            </w:pPr>
            <w:r/>
            <w:r>
              <w:rPr>
                <w:sz w:val="17"/>
              </w:rPr>
              <w:t>Name: [TBC]</w:t>
            </w:r>
          </w:p>
          <w:p>
            <w:pPr>
              <w:keepNext/>
              <w:spacing w:after="20"/>
            </w:pPr>
            <w:r>
              <w:rPr>
                <w:sz w:val="17"/>
              </w:rPr>
              <w:t>Organisation: [TBC]</w:t>
            </w:r>
          </w:p>
          <w:p>
            <w:pPr>
              <w:keepNext/>
              <w:spacing w:after="20"/>
            </w:pPr>
            <w:r>
              <w:rPr>
                <w:sz w:val="17"/>
              </w:rPr>
              <w:t>Role: [TBC]</w:t>
            </w:r>
          </w:p>
          <w:p>
            <w:pPr>
              <w:keepNext/>
              <w:spacing w:after="20"/>
            </w:pPr>
            <w:r>
              <w:rPr>
                <w:sz w:val="17"/>
              </w:rPr>
              <w:t>Phone: [TBC]</w:t>
            </w:r>
          </w:p>
          <w:p>
            <w:pPr>
              <w:keepNext/>
              <w:spacing w:after="20"/>
            </w:pPr>
            <w:r>
              <w:rPr>
                <w:sz w:val="17"/>
              </w:rPr>
              <w:t>Email: [TBC]</w:t>
            </w:r>
          </w:p>
        </w:tc>
      </w:tr>
      <w:tr>
        <w:trPr>
          <w:cantSplit/>
        </w:trPr>
        <w:tc>
          <w:tcPr>
            <w:tcW w:type="dxa" w:w="4819"/>
            <w:shd w:val="clear" w:color="auto" w:fill="F7F7F7"/>
          </w:tcPr>
          <w:p>
            <w:pPr>
              <w:spacing w:after="20"/>
            </w:pPr>
            <w:r/>
            <w:r>
              <w:rPr>
                <w:sz w:val="17"/>
              </w:rPr>
              <w:t>Contract Name: [TBC]</w:t>
            </w:r>
          </w:p>
          <w:p>
            <w:pPr>
              <w:spacing w:after="20"/>
            </w:pPr>
            <w:r>
              <w:rPr>
                <w:sz w:val="17"/>
              </w:rPr>
              <w:t>Description: [TBC]</w:t>
            </w:r>
          </w:p>
          <w:p>
            <w:pPr>
              <w:spacing w:after="20"/>
            </w:pPr>
            <w:r>
              <w:rPr>
                <w:sz w:val="17"/>
              </w:rPr>
              <w:t>Location: [TBC]</w:t>
            </w:r>
          </w:p>
          <w:p>
            <w:pPr>
              <w:spacing w:after="20"/>
            </w:pPr>
            <w:r>
              <w:rPr>
                <w:sz w:val="17"/>
              </w:rPr>
              <w:t>Value: [TBC]</w:t>
            </w:r>
          </w:p>
          <w:p>
            <w:pPr>
              <w:spacing w:after="20"/>
            </w:pPr>
            <w:r>
              <w:rPr>
                <w:sz w:val="17"/>
              </w:rPr>
              <w:t>Date undertaken: [TBC]</w:t>
            </w:r>
          </w:p>
        </w:tc>
        <w:tc>
          <w:tcPr>
            <w:tcW w:type="dxa" w:w="4819"/>
            <w:shd w:val="clear" w:color="auto" w:fill="F7F7F7"/>
          </w:tcPr>
          <w:p>
            <w:pPr>
              <w:spacing w:after="20"/>
            </w:pPr>
            <w:r/>
            <w:r>
              <w:rPr>
                <w:sz w:val="17"/>
              </w:rPr>
              <w:t>Name: [TBC]</w:t>
            </w:r>
          </w:p>
          <w:p>
            <w:pPr>
              <w:spacing w:after="20"/>
            </w:pPr>
            <w:r>
              <w:rPr>
                <w:sz w:val="17"/>
              </w:rPr>
              <w:t>Organisation: [TBC]</w:t>
            </w:r>
          </w:p>
          <w:p>
            <w:pPr>
              <w:spacing w:after="20"/>
            </w:pPr>
            <w:r>
              <w:rPr>
                <w:sz w:val="17"/>
              </w:rPr>
              <w:t>Role: [TBC]</w:t>
            </w:r>
          </w:p>
          <w:p>
            <w:pPr>
              <w:spacing w:after="20"/>
            </w:pPr>
            <w:r>
              <w:rPr>
                <w:sz w:val="17"/>
              </w:rPr>
              <w:t>Phone: [TBC]</w:t>
            </w:r>
          </w:p>
          <w:p>
            <w:pPr>
              <w:spacing w:after="20"/>
            </w:pPr>
            <w:r>
              <w:rPr>
                <w:sz w:val="17"/>
              </w:rPr>
              <w:t>Email: [TBC]</w:t>
            </w:r>
          </w:p>
        </w:tc>
      </w:tr>
      <w:tr>
        <w:trPr>
          <w:cantSplit/>
        </w:trPr>
        <w:tc>
          <w:tcPr>
            <w:tcW w:type="dxa" w:w="4819"/>
          </w:tcPr>
          <w:p>
            <w:pPr>
              <w:spacing w:after="20"/>
            </w:pPr>
            <w:r/>
            <w:r>
              <w:rPr>
                <w:sz w:val="17"/>
              </w:rPr>
              <w:t>Contract Name: [TBC]</w:t>
            </w:r>
          </w:p>
          <w:p>
            <w:pPr>
              <w:spacing w:after="20"/>
            </w:pPr>
            <w:r>
              <w:rPr>
                <w:sz w:val="17"/>
              </w:rPr>
              <w:t>Description: [TBC]</w:t>
            </w:r>
          </w:p>
          <w:p>
            <w:pPr>
              <w:spacing w:after="20"/>
            </w:pPr>
            <w:r>
              <w:rPr>
                <w:sz w:val="17"/>
              </w:rPr>
              <w:t>Location: [TBC]</w:t>
            </w:r>
          </w:p>
          <w:p>
            <w:pPr>
              <w:spacing w:after="20"/>
            </w:pPr>
            <w:r>
              <w:rPr>
                <w:sz w:val="17"/>
              </w:rPr>
              <w:t>Value: [TBC]</w:t>
            </w:r>
          </w:p>
          <w:p>
            <w:pPr>
              <w:spacing w:after="20"/>
            </w:pPr>
            <w:r>
              <w:rPr>
                <w:sz w:val="17"/>
              </w:rPr>
              <w:t>Date undertaken: [TBC]</w:t>
            </w:r>
          </w:p>
        </w:tc>
        <w:tc>
          <w:tcPr>
            <w:tcW w:type="dxa" w:w="4819"/>
          </w:tcPr>
          <w:p>
            <w:pPr>
              <w:spacing w:after="20"/>
            </w:pPr>
            <w:r/>
            <w:r>
              <w:rPr>
                <w:sz w:val="17"/>
              </w:rPr>
              <w:t>Name: [TBC]</w:t>
            </w:r>
          </w:p>
          <w:p>
            <w:pPr>
              <w:spacing w:after="20"/>
            </w:pPr>
            <w:r>
              <w:rPr>
                <w:sz w:val="17"/>
              </w:rPr>
              <w:t>Organisation: [TBC]</w:t>
            </w:r>
          </w:p>
          <w:p>
            <w:pPr>
              <w:spacing w:after="20"/>
            </w:pPr>
            <w:r>
              <w:rPr>
                <w:sz w:val="17"/>
              </w:rPr>
              <w:t>Role: [TBC]</w:t>
            </w:r>
          </w:p>
          <w:p>
            <w:pPr>
              <w:spacing w:after="20"/>
            </w:pPr>
            <w:r>
              <w:rPr>
                <w:sz w:val="17"/>
              </w:rPr>
              <w:t>Phone: [TBC]</w:t>
            </w:r>
          </w:p>
          <w:p>
            <w:pPr>
              <w:spacing w:after="20"/>
            </w:pPr>
            <w:r>
              <w:rPr>
                <w:sz w:val="17"/>
              </w:rPr>
              <w:t>Email: [TBC]</w:t>
            </w:r>
          </w:p>
        </w:tc>
      </w:tr>
    </w:tbl>
    <w:p>
      <w:pPr>
        <w:spacing w:after="40"/>
      </w:pPr>
    </w:p>
    <w:p>
      <w:pPr>
        <w:pStyle w:val="Heading1"/>
        <w:pBdr>
          <w:bottom w:val="single" w:sz="6" w:space="1" w:color="C9A227"/>
        </w:pBdr>
      </w:pPr>
      <w:r>
        <w:t>12   Key Personnel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677"/>
        <w:gridCol w:w="1785"/>
        <w:gridCol w:w="2856"/>
        <w:gridCol w:w="2320"/>
      </w:tblGrid>
      <w:tr>
        <w:trPr>
          <w:tblHeader/>
          <w:cantSplit/>
        </w:trPr>
        <w:tc>
          <w:tcPr>
            <w:tcW w:type="dxa" w:w="2677"/>
            <w:shd w:val="clear" w:color="auto" w:fill="000000"/>
          </w:tcPr>
          <w:p>
            <w:pPr>
              <w:keepNext/>
            </w:pPr>
            <w:r/>
            <w:r>
              <w:rPr>
                <w:b/>
                <w:color w:val="FFFFFF"/>
                <w:sz w:val="17"/>
              </w:rPr>
              <w:t>Employee name and position</w:t>
            </w:r>
          </w:p>
        </w:tc>
        <w:tc>
          <w:tcPr>
            <w:tcW w:type="dxa" w:w="1785"/>
            <w:shd w:val="clear" w:color="auto" w:fill="000000"/>
          </w:tcPr>
          <w:p>
            <w:pPr>
              <w:keepNext/>
            </w:pPr>
            <w:r/>
            <w:r>
              <w:rPr>
                <w:b/>
                <w:color w:val="FFFFFF"/>
                <w:sz w:val="17"/>
              </w:rPr>
              <w:t>Years employed</w:t>
            </w:r>
          </w:p>
        </w:tc>
        <w:tc>
          <w:tcPr>
            <w:tcW w:type="dxa" w:w="2856"/>
            <w:shd w:val="clear" w:color="auto" w:fill="000000"/>
          </w:tcPr>
          <w:p>
            <w:pPr>
              <w:keepNext/>
            </w:pPr>
            <w:r/>
            <w:r>
              <w:rPr>
                <w:b/>
                <w:color w:val="FFFFFF"/>
                <w:sz w:val="17"/>
              </w:rPr>
              <w:t>Qualification / experience</w:t>
            </w:r>
          </w:p>
        </w:tc>
        <w:tc>
          <w:tcPr>
            <w:tcW w:type="dxa" w:w="2320"/>
            <w:shd w:val="clear" w:color="auto" w:fill="000000"/>
          </w:tcPr>
          <w:p>
            <w:pPr>
              <w:keepNext/>
            </w:pPr>
            <w:r/>
            <w:r>
              <w:rPr>
                <w:b/>
                <w:color w:val="FFFFFF"/>
                <w:sz w:val="17"/>
              </w:rPr>
              <w:t>Proposed role</w:t>
            </w:r>
          </w:p>
        </w:tc>
      </w:tr>
      <w:tr>
        <w:trPr>
          <w:cantSplit/>
        </w:trPr>
        <w:tc>
          <w:tcPr>
            <w:tcW w:type="dxa" w:w="2677"/>
          </w:tcPr>
          <w:p>
            <w:pPr>
              <w:keepNext/>
              <w:spacing w:after="20"/>
            </w:pPr>
            <w:r/>
            <w:r>
              <w:rPr>
                <w:sz w:val="17"/>
              </w:rPr>
              <w:t>Jayden Callen, Director</w:t>
            </w:r>
          </w:p>
        </w:tc>
        <w:tc>
          <w:tcPr>
            <w:tcW w:type="dxa" w:w="1785"/>
          </w:tcPr>
          <w:p>
            <w:pPr>
              <w:keepNext/>
              <w:spacing w:after="20"/>
            </w:pPr>
            <w:r/>
            <w:r>
              <w:rPr>
                <w:sz w:val="17"/>
              </w:rPr>
              <w:t>Since 2024 (practice); 2026 (company)</w:t>
            </w:r>
          </w:p>
        </w:tc>
        <w:tc>
          <w:tcPr>
            <w:tcW w:type="dxa" w:w="2856"/>
          </w:tcPr>
          <w:p>
            <w:pPr>
              <w:keepNext/>
              <w:spacing w:after="20"/>
            </w:pPr>
            <w:r/>
            <w:r>
              <w:rPr>
                <w:sz w:val="17"/>
              </w:rPr>
              <w:t>BEng (Hons) Civil; MIEAust (11036201); 8+ years civil engineering and design management</w:t>
            </w:r>
          </w:p>
        </w:tc>
        <w:tc>
          <w:tcPr>
            <w:tcW w:type="dxa" w:w="2320"/>
          </w:tcPr>
          <w:p>
            <w:pPr>
              <w:keepNext/>
              <w:spacing w:after="20"/>
            </w:pPr>
            <w:r/>
            <w:r>
              <w:rPr>
                <w:sz w:val="17"/>
              </w:rPr>
              <w:t>Project manager; Prime Contractor representative; signs all documents</w:t>
            </w:r>
          </w:p>
        </w:tc>
      </w:tr>
      <w:tr>
        <w:trPr>
          <w:cantSplit/>
        </w:trPr>
        <w:tc>
          <w:tcPr>
            <w:tcW w:type="dxa" w:w="2677"/>
            <w:shd w:val="clear" w:color="auto" w:fill="F7F7F7"/>
          </w:tcPr>
          <w:p>
            <w:pPr>
              <w:spacing w:after="20"/>
            </w:pPr>
            <w:r/>
            <w:r>
              <w:rPr>
                <w:sz w:val="17"/>
              </w:rPr>
              <w:t>Sunny Lotay, Associate (Lotay Civil) [TBC - Jayden: confirm]</w:t>
            </w:r>
          </w:p>
        </w:tc>
        <w:tc>
          <w:tcPr>
            <w:tcW w:type="dxa" w:w="1785"/>
            <w:shd w:val="clear" w:color="auto" w:fill="F7F7F7"/>
          </w:tcPr>
          <w:p>
            <w:pPr>
              <w:spacing w:after="20"/>
            </w:pPr>
            <w:r/>
            <w:r>
              <w:rPr>
                <w:sz w:val="17"/>
              </w:rPr>
              <w:t>Associate</w:t>
            </w:r>
          </w:p>
        </w:tc>
        <w:tc>
          <w:tcPr>
            <w:tcW w:type="dxa" w:w="2856"/>
            <w:shd w:val="clear" w:color="auto" w:fill="F7F7F7"/>
          </w:tcPr>
          <w:p>
            <w:pPr>
              <w:spacing w:after="20"/>
            </w:pPr>
            <w:r/>
            <w:r>
              <w:rPr>
                <w:sz w:val="17"/>
              </w:rPr>
              <w:t>NER, RPEng (Vic) [TBC - Jayden: confirm years of experience]</w:t>
            </w:r>
          </w:p>
        </w:tc>
        <w:tc>
          <w:tcPr>
            <w:tcW w:type="dxa" w:w="2320"/>
            <w:shd w:val="clear" w:color="auto" w:fill="F7F7F7"/>
          </w:tcPr>
          <w:p>
            <w:pPr>
              <w:spacing w:after="20"/>
            </w:pPr>
            <w:r/>
            <w:r>
              <w:rPr>
                <w:sz w:val="17"/>
              </w:rPr>
              <w:t>Data QA and GIS outputs</w:t>
            </w:r>
          </w:p>
        </w:tc>
      </w:tr>
      <w:tr>
        <w:trPr>
          <w:cantSplit/>
        </w:trPr>
        <w:tc>
          <w:tcPr>
            <w:tcW w:type="dxa" w:w="2677"/>
          </w:tcPr>
          <w:p>
            <w:pPr>
              <w:spacing w:after="20"/>
            </w:pPr>
            <w:r/>
            <w:r>
              <w:rPr>
                <w:sz w:val="17"/>
              </w:rPr>
              <w:t>Livio Chiarot, Associate (SCP Consulting) [TBC - Jayden: confirm]</w:t>
            </w:r>
          </w:p>
        </w:tc>
        <w:tc>
          <w:tcPr>
            <w:tcW w:type="dxa" w:w="1785"/>
          </w:tcPr>
          <w:p>
            <w:pPr>
              <w:spacing w:after="20"/>
            </w:pPr>
            <w:r/>
            <w:r>
              <w:rPr>
                <w:sz w:val="17"/>
              </w:rPr>
              <w:t>Associate</w:t>
            </w:r>
          </w:p>
        </w:tc>
        <w:tc>
          <w:tcPr>
            <w:tcW w:type="dxa" w:w="2856"/>
          </w:tcPr>
          <w:p>
            <w:pPr>
              <w:spacing w:after="20"/>
            </w:pPr>
            <w:r/>
            <w:r>
              <w:rPr>
                <w:sz w:val="17"/>
              </w:rPr>
              <w:t>FIEAust [TBC - Jayden: confirm years of experience]</w:t>
            </w:r>
          </w:p>
        </w:tc>
        <w:tc>
          <w:tcPr>
            <w:tcW w:type="dxa" w:w="2320"/>
          </w:tcPr>
          <w:p>
            <w:pPr>
              <w:spacing w:after="20"/>
            </w:pPr>
            <w:r/>
            <w:r>
              <w:rPr>
                <w:sz w:val="17"/>
              </w:rPr>
              <w:t>Independent technical reviewer</w:t>
            </w:r>
          </w:p>
        </w:tc>
      </w:tr>
      <w:tr>
        <w:trPr>
          <w:cantSplit/>
        </w:trPr>
        <w:tc>
          <w:tcPr>
            <w:tcW w:type="dxa" w:w="2677"/>
            <w:shd w:val="clear" w:color="auto" w:fill="F7F7F7"/>
          </w:tcPr>
          <w:p>
            <w:pPr>
              <w:spacing w:after="20"/>
            </w:pPr>
            <w:r/>
            <w:r>
              <w:rPr>
                <w:sz w:val="17"/>
              </w:rPr>
              <w:t>[TBC - Jayden: data capture partner field lead]</w:t>
            </w:r>
          </w:p>
        </w:tc>
        <w:tc>
          <w:tcPr>
            <w:tcW w:type="dxa" w:w="1785"/>
            <w:shd w:val="clear" w:color="auto" w:fill="F7F7F7"/>
          </w:tcPr>
          <w:p>
            <w:pPr>
              <w:spacing w:after="20"/>
            </w:pPr>
            <w:r/>
            <w:r>
              <w:rPr>
                <w:sz w:val="17"/>
              </w:rPr>
              <w:t>Partner</w:t>
            </w:r>
          </w:p>
        </w:tc>
        <w:tc>
          <w:tcPr>
            <w:tcW w:type="dxa" w:w="2856"/>
            <w:shd w:val="clear" w:color="auto" w:fill="F7F7F7"/>
          </w:tcPr>
          <w:p>
            <w:pPr>
              <w:spacing w:after="20"/>
            </w:pPr>
            <w:r/>
            <w:r>
              <w:rPr>
                <w:sz w:val="17"/>
              </w:rPr>
              <w:t>[From partner quote]</w:t>
            </w:r>
          </w:p>
        </w:tc>
        <w:tc>
          <w:tcPr>
            <w:tcW w:type="dxa" w:w="2320"/>
            <w:shd w:val="clear" w:color="auto" w:fill="F7F7F7"/>
          </w:tcPr>
          <w:p>
            <w:pPr>
              <w:spacing w:after="20"/>
            </w:pPr>
            <w:r/>
            <w:r>
              <w:rPr>
                <w:sz w:val="17"/>
              </w:rPr>
              <w:t>Field data capture lead</w:t>
            </w:r>
          </w:p>
        </w:tc>
      </w:tr>
      <w:tr>
        <w:trPr>
          <w:cantSplit/>
        </w:trPr>
        <w:tc>
          <w:tcPr>
            <w:tcW w:type="dxa" w:w="2677"/>
          </w:tcPr>
          <w:p>
            <w:pPr>
              <w:spacing w:after="20"/>
            </w:pPr>
            <w:r/>
            <w:r>
              <w:rPr>
                <w:sz w:val="17"/>
              </w:rPr>
              <w:t>[TBC - Jayden: valuation partner signing valuer]</w:t>
            </w:r>
          </w:p>
        </w:tc>
        <w:tc>
          <w:tcPr>
            <w:tcW w:type="dxa" w:w="1785"/>
          </w:tcPr>
          <w:p>
            <w:pPr>
              <w:spacing w:after="20"/>
            </w:pPr>
            <w:r/>
            <w:r>
              <w:rPr>
                <w:sz w:val="17"/>
              </w:rPr>
              <w:t>Partner</w:t>
            </w:r>
          </w:p>
        </w:tc>
        <w:tc>
          <w:tcPr>
            <w:tcW w:type="dxa" w:w="2856"/>
          </w:tcPr>
          <w:p>
            <w:pPr>
              <w:spacing w:after="20"/>
            </w:pPr>
            <w:r/>
            <w:r>
              <w:rPr>
                <w:sz w:val="17"/>
              </w:rPr>
              <w:t>[From partner quote]</w:t>
            </w:r>
          </w:p>
        </w:tc>
        <w:tc>
          <w:tcPr>
            <w:tcW w:type="dxa" w:w="2320"/>
          </w:tcPr>
          <w:p>
            <w:pPr>
              <w:spacing w:after="20"/>
            </w:pPr>
            <w:r/>
            <w:r>
              <w:rPr>
                <w:sz w:val="17"/>
              </w:rPr>
              <w:t>Revaluation review and sign-off</w:t>
            </w:r>
          </w:p>
        </w:tc>
      </w:tr>
    </w:tbl>
    <w:p>
      <w:pPr>
        <w:spacing w:after="40"/>
      </w:pPr>
    </w:p>
    <w:p>
      <w:pPr>
        <w:pStyle w:val="Heading1"/>
        <w:pBdr>
          <w:bottom w:val="single" w:sz="6" w:space="1" w:color="C9A227"/>
        </w:pBdr>
      </w:pPr>
      <w:r>
        <w:t>13   Proposed Subcontractors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6" w:type="dxa"/>
        <w:tblLayout w:type="fixed"/>
      </w:tblPr>
      <w:tblGrid>
        <w:gridCol w:w="2628"/>
        <w:gridCol w:w="2628"/>
        <w:gridCol w:w="2190"/>
        <w:gridCol w:w="2190"/>
      </w:tblGrid>
      <w:tr>
        <w:trPr>
          <w:tblHeader/>
          <w:cantSplit/>
        </w:trPr>
        <w:tc>
          <w:tcPr>
            <w:tcW w:type="dxa" w:w="2628"/>
            <w:shd w:val="clear" w:color="auto" w:fill="000000"/>
          </w:tcPr>
          <w:p>
            <w:pPr>
              <w:keepNext/>
            </w:pPr>
            <w:r/>
            <w:r>
              <w:rPr>
                <w:b/>
                <w:color w:val="FFFFFF"/>
                <w:sz w:val="17"/>
              </w:rPr>
              <w:t>Name of proposed subcontractor</w:t>
            </w:r>
          </w:p>
        </w:tc>
        <w:tc>
          <w:tcPr>
            <w:tcW w:type="dxa" w:w="2628"/>
            <w:shd w:val="clear" w:color="auto" w:fill="000000"/>
          </w:tcPr>
          <w:p>
            <w:pPr>
              <w:keepNext/>
            </w:pPr>
            <w:r/>
            <w:r>
              <w:rPr>
                <w:b/>
                <w:color w:val="FFFFFF"/>
                <w:sz w:val="17"/>
              </w:rPr>
              <w:t>Proposed role</w:t>
            </w:r>
          </w:p>
        </w:tc>
        <w:tc>
          <w:tcPr>
            <w:tcW w:type="dxa" w:w="2190"/>
            <w:shd w:val="clear" w:color="auto" w:fill="000000"/>
          </w:tcPr>
          <w:p>
            <w:pPr>
              <w:keepNext/>
            </w:pPr>
            <w:r/>
            <w:r>
              <w:rPr>
                <w:b/>
                <w:color w:val="FFFFFF"/>
                <w:sz w:val="17"/>
              </w:rPr>
              <w:t>Recent experience</w:t>
            </w:r>
          </w:p>
        </w:tc>
        <w:tc>
          <w:tcPr>
            <w:tcW w:type="dxa" w:w="2190"/>
            <w:shd w:val="clear" w:color="auto" w:fill="000000"/>
          </w:tcPr>
          <w:p>
            <w:pPr>
              <w:keepNext/>
            </w:pPr>
            <w:r/>
            <w:r>
              <w:rPr>
                <w:b/>
                <w:color w:val="FFFFFF"/>
                <w:sz w:val="17"/>
              </w:rPr>
              <w:t>Insurances provided</w:t>
            </w:r>
          </w:p>
        </w:tc>
      </w:tr>
      <w:tr>
        <w:trPr>
          <w:cantSplit/>
        </w:trPr>
        <w:tc>
          <w:tcPr>
            <w:tcW w:type="dxa" w:w="2628"/>
          </w:tcPr>
          <w:p>
            <w:pPr>
              <w:keepNext/>
              <w:spacing w:after="20"/>
            </w:pPr>
            <w:r/>
            <w:r>
              <w:rPr>
                <w:sz w:val="17"/>
              </w:rPr>
              <w:t>[TBC - Jayden: field data capture partner, from quotes due 21/10/2026]</w:t>
            </w:r>
          </w:p>
        </w:tc>
        <w:tc>
          <w:tcPr>
            <w:tcW w:type="dxa" w:w="2628"/>
          </w:tcPr>
          <w:p>
            <w:pPr>
              <w:keepNext/>
              <w:spacing w:after="20"/>
            </w:pPr>
            <w:r/>
            <w:r>
              <w:rPr>
                <w:sz w:val="17"/>
              </w:rPr>
              <w:t>Field inventory and condition audit, pilot, DGPS and photography, data processing</w:t>
            </w:r>
          </w:p>
        </w:tc>
        <w:tc>
          <w:tcPr>
            <w:tcW w:type="dxa" w:w="2190"/>
          </w:tcPr>
          <w:p>
            <w:pPr>
              <w:keepNext/>
              <w:spacing w:after="20"/>
            </w:pPr>
            <w:r/>
            <w:r>
              <w:rPr>
                <w:sz w:val="17"/>
              </w:rPr>
              <w:t>[From partner quote]</w:t>
            </w:r>
          </w:p>
        </w:tc>
        <w:tc>
          <w:tcPr>
            <w:tcW w:type="dxa" w:w="2190"/>
          </w:tcPr>
          <w:p>
            <w:pPr>
              <w:keepNext/>
              <w:spacing w:after="20"/>
            </w:pPr>
            <w:r/>
            <w:r>
              <w:rPr>
                <w:sz w:val="17"/>
              </w:rPr>
              <w:t>PL $20m; PI $10m; WC as per law [confirm from certificates]</w:t>
            </w:r>
          </w:p>
        </w:tc>
      </w:tr>
      <w:tr>
        <w:trPr>
          <w:cantSplit/>
        </w:trPr>
        <w:tc>
          <w:tcPr>
            <w:tcW w:type="dxa" w:w="2628"/>
            <w:shd w:val="clear" w:color="auto" w:fill="F7F7F7"/>
          </w:tcPr>
          <w:p>
            <w:pPr>
              <w:spacing w:after="20"/>
            </w:pPr>
            <w:r/>
            <w:r>
              <w:rPr>
                <w:sz w:val="17"/>
              </w:rPr>
              <w:t>[TBC - Jayden: valuation partner, from quotes due 21/10/2026]</w:t>
            </w:r>
          </w:p>
        </w:tc>
        <w:tc>
          <w:tcPr>
            <w:tcW w:type="dxa" w:w="2628"/>
            <w:shd w:val="clear" w:color="auto" w:fill="F7F7F7"/>
          </w:tcPr>
          <w:p>
            <w:pPr>
              <w:spacing w:after="20"/>
            </w:pPr>
            <w:r/>
            <w:r>
              <w:rPr>
                <w:sz w:val="17"/>
              </w:rPr>
              <w:t>Comprehensive revaluation review and sign-off by a qualified valuer</w:t>
            </w:r>
          </w:p>
        </w:tc>
        <w:tc>
          <w:tcPr>
            <w:tcW w:type="dxa" w:w="2190"/>
            <w:shd w:val="clear" w:color="auto" w:fill="F7F7F7"/>
          </w:tcPr>
          <w:p>
            <w:pPr>
              <w:spacing w:after="20"/>
            </w:pPr>
            <w:r/>
            <w:r>
              <w:rPr>
                <w:sz w:val="17"/>
              </w:rPr>
              <w:t>[From partner quote]</w:t>
            </w:r>
          </w:p>
        </w:tc>
        <w:tc>
          <w:tcPr>
            <w:tcW w:type="dxa" w:w="2190"/>
            <w:shd w:val="clear" w:color="auto" w:fill="F7F7F7"/>
          </w:tcPr>
          <w:p>
            <w:pPr>
              <w:spacing w:after="20"/>
            </w:pPr>
            <w:r/>
            <w:r>
              <w:rPr>
                <w:sz w:val="17"/>
              </w:rPr>
              <w:t>PL $20m; PI $10m; WC as per law [confirm from certificates]</w:t>
            </w:r>
          </w:p>
        </w:tc>
      </w:tr>
    </w:tbl>
    <w:p>
      <w:pPr>
        <w:spacing w:after="40"/>
      </w:pPr>
    </w:p>
    <w:p>
      <w:pPr>
        <w:pStyle w:val="Heading1"/>
        <w:pBdr>
          <w:bottom w:val="single" w:sz="6" w:space="1" w:color="C9A227"/>
        </w:pBdr>
      </w:pPr>
      <w:r>
        <w:t>14   Quality Assurance Plan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Quality Assurance management system as part of the overall management system? Quality Policy JCE-QMS-POL-001 (Rev 1.0, 22/06/2026) attached; document control, QA and certification templates and registers; project QA plan per fee proposal Section 2.2.</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Accredited to an ISO standard?</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3</w:t>
            </w:r>
          </w:p>
        </w:tc>
        <w:tc>
          <w:tcPr>
            <w:tcW w:type="dxa" w:w="7559"/>
          </w:tcPr>
          <w:p>
            <w:pPr>
              <w:spacing w:after="20"/>
            </w:pPr>
            <w:r/>
            <w:r>
              <w:rPr>
                <w:sz w:val="17"/>
              </w:rPr>
              <w:t>Quality Policy? It has the documented support of the Director (signed 23/06/2026) and relates to JCE's activities and services.</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Reflects the organisation's values and guiding principles? [TBC - Jayden: confirm from policy wording]</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Guides the setting of quality objectives and targets? [TBC - Jayden: confirm]</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Guides monitoring of management practices? [TBC - Jayden: confirm]</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4</w:t>
            </w:r>
          </w:p>
        </w:tc>
        <w:tc>
          <w:tcPr>
            <w:tcW w:type="dxa" w:w="7559"/>
          </w:tcPr>
          <w:p>
            <w:pPr>
              <w:spacing w:after="20"/>
            </w:pPr>
            <w:r/>
            <w:r>
              <w:rPr>
                <w:sz w:val="17"/>
              </w:rPr>
              <w:t>Management representative for quality: the Director.</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5</w:t>
            </w:r>
          </w:p>
        </w:tc>
        <w:tc>
          <w:tcPr>
            <w:tcW w:type="dxa" w:w="7559"/>
            <w:shd w:val="clear" w:color="auto" w:fill="F7F7F7"/>
          </w:tcPr>
          <w:p>
            <w:pPr>
              <w:spacing w:after="20"/>
            </w:pPr>
            <w:r/>
            <w:r>
              <w:rPr>
                <w:sz w:val="17"/>
              </w:rPr>
              <w:t>Documented evidence (management review minutes, internal audit reports, a typical quality plan)? [TBC - Jayden: tick only what you can attach; a typical project quality plan is the easiest]</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6</w:t>
            </w:r>
          </w:p>
        </w:tc>
        <w:tc>
          <w:tcPr>
            <w:tcW w:type="dxa" w:w="7559"/>
          </w:tcPr>
          <w:p>
            <w:pPr>
              <w:spacing w:after="20"/>
            </w:pPr>
            <w:r/>
            <w:r>
              <w:rPr>
                <w:sz w:val="17"/>
              </w:rPr>
              <w:t>Quality principles in training and induction? [TBC - Jayden: confirm JCE-WHS-PRO-008 covers quality]</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7</w:t>
            </w:r>
          </w:p>
        </w:tc>
        <w:tc>
          <w:tcPr>
            <w:tcW w:type="dxa" w:w="7559"/>
            <w:shd w:val="clear" w:color="auto" w:fill="F7F7F7"/>
          </w:tcPr>
          <w:p>
            <w:pPr>
              <w:spacing w:after="20"/>
            </w:pPr>
            <w:r/>
            <w:r>
              <w:rPr>
                <w:sz w:val="17"/>
              </w:rPr>
              <w:t>Procedures for control of quality from subcontractors and suppliers: Quality Policy and JCE-WHS-PRO-009.</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8</w:t>
            </w:r>
          </w:p>
        </w:tc>
        <w:tc>
          <w:tcPr>
            <w:tcW w:type="dxa" w:w="7559"/>
          </w:tcPr>
          <w:p>
            <w:pPr>
              <w:spacing w:after="20"/>
            </w:pPr>
            <w:r/>
            <w:r>
              <w:rPr>
                <w:sz w:val="17"/>
              </w:rPr>
              <w:t>Corrective action procedure? [TBC - Jayden: confirm]</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9 to 11</w:t>
            </w:r>
          </w:p>
        </w:tc>
        <w:tc>
          <w:tcPr>
            <w:tcW w:type="dxa" w:w="7559"/>
            <w:shd w:val="clear" w:color="auto" w:fill="F7F7F7"/>
          </w:tcPr>
          <w:p>
            <w:pPr>
              <w:spacing w:after="20"/>
            </w:pPr>
            <w:r/>
            <w:r>
              <w:rPr>
                <w:sz w:val="17"/>
              </w:rPr>
              <w:t>Management review of quality principles, regular, with follow-up? Annual policy review (next 22/06/2027). [TBC - Jayden: confirm]</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bl>
    <w:p>
      <w:pPr>
        <w:spacing w:after="40"/>
      </w:pPr>
    </w:p>
    <w:p>
      <w:pPr>
        <w:pStyle w:val="Heading1"/>
        <w:pBdr>
          <w:bottom w:val="single" w:sz="6" w:space="1" w:color="C9A227"/>
        </w:pBdr>
      </w:pPr>
      <w:r>
        <w:t>15   Work Health &amp; Safety (WHS)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Written WHS policy: JCE-WHS-POL-001 (attached).</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WHS Management System / Manual: JCE WHS Management System 22/06/2026 (contents page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WHS Management Plan: JCE-WHS-PLN-001 (attached); project plan before site access (clause 18).</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COVID-19 Safety Plan?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w:t>
            </w:r>
          </w:p>
        </w:tc>
        <w:tc>
          <w:tcPr>
            <w:tcW w:type="dxa" w:w="7559"/>
          </w:tcPr>
          <w:p>
            <w:pPr>
              <w:spacing w:after="20"/>
            </w:pPr>
            <w:r/>
            <w:r>
              <w:rPr>
                <w:sz w:val="17"/>
              </w:rPr>
              <w:t>Health and safety responsibilities identified for all levels (WHS Management Plan).</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WHS Management Plan accredited by a NSW Government agency or third party?</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4</w:t>
            </w:r>
          </w:p>
        </w:tc>
        <w:tc>
          <w:tcPr>
            <w:tcW w:type="dxa" w:w="7559"/>
          </w:tcPr>
          <w:p>
            <w:pPr>
              <w:spacing w:after="20"/>
            </w:pPr>
            <w:r/>
            <w:r>
              <w:rPr>
                <w:sz w:val="17"/>
              </w:rPr>
              <w:t>SWMS for significant-risk work: JCE-WHS-SWMS-001 (attached) with the summary list of procedures from the WHS Management System contents page.</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r>
          </w:p>
        </w:tc>
        <w:tc>
          <w:tcPr>
            <w:tcW w:type="dxa" w:w="7559"/>
            <w:shd w:val="clear" w:color="auto" w:fill="F7F7F7"/>
          </w:tcPr>
          <w:p>
            <w:pPr>
              <w:spacing w:after="20"/>
            </w:pPr>
            <w:r/>
            <w:r>
              <w:rPr>
                <w:sz w:val="17"/>
              </w:rPr>
              <w:t>Staff trained for traffic control and traffic management plans? JCE staff are not traffic controllers; field work near traffic uses accredited controllers to an approved traffic guidance scheme. [TBC - Jayden: attach the data capture partner's TMP example and answer Yes only if it is attached]</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5</w:t>
            </w:r>
          </w:p>
        </w:tc>
        <w:tc>
          <w:tcPr>
            <w:tcW w:type="dxa" w:w="7559"/>
          </w:tcPr>
          <w:p>
            <w:pPr>
              <w:spacing w:after="20"/>
            </w:pPr>
            <w:r/>
            <w:r>
              <w:rPr>
                <w:sz w:val="17"/>
              </w:rPr>
              <w:t>WHS training: worker WHS induction (JCE-WHS-PRO-008), training and competency register (JCE-WHS-REG-003), site inspection and site entry procedure (JCE-WHS-PRO-005), pre-site Take-5 risk assessment (JCE-WHS-FRM-002), and project inductions for subcontractors.</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6</w:t>
            </w:r>
          </w:p>
        </w:tc>
        <w:tc>
          <w:tcPr>
            <w:tcW w:type="dxa" w:w="7559"/>
            <w:shd w:val="clear" w:color="auto" w:fill="F7F7F7"/>
          </w:tcPr>
          <w:p>
            <w:pPr>
              <w:spacing w:after="20"/>
            </w:pPr>
            <w:r/>
            <w:r>
              <w:rPr>
                <w:sz w:val="17"/>
              </w:rPr>
              <w:t>WHS induction program: JCE-WHS-PRO-008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Record of inductions: training and competency register JCE-WHS-REG-003.</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7</w:t>
            </w:r>
          </w:p>
        </w:tc>
        <w:tc>
          <w:tcPr>
            <w:tcW w:type="dxa" w:w="7559"/>
            <w:shd w:val="clear" w:color="auto" w:fill="F7F7F7"/>
          </w:tcPr>
          <w:p>
            <w:pPr>
              <w:spacing w:after="20"/>
            </w:pPr>
            <w:r/>
            <w:r>
              <w:rPr>
                <w:sz w:val="17"/>
              </w:rPr>
              <w:t>Register of workplace injuries: incident register JCE-WHS-REG-002.</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Incident investigation procedure, with incident report form JCE-WHS-FRM-001 (attached).</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8</w:t>
            </w:r>
          </w:p>
        </w:tc>
        <w:tc>
          <w:tcPr>
            <w:tcW w:type="dxa" w:w="7559"/>
            <w:shd w:val="clear" w:color="auto" w:fill="F7F7F7"/>
          </w:tcPr>
          <w:p>
            <w:pPr>
              <w:spacing w:after="20"/>
            </w:pPr>
            <w:r/>
            <w:r>
              <w:rPr>
                <w:sz w:val="17"/>
              </w:rPr>
              <w:t>Regular WHS inspections at worksites, with form: pre-site Take-5 risk assessment JCE-WHS-FRM-002 (attached). [TBC - Jayden: confirm Yes]</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9</w:t>
            </w:r>
          </w:p>
        </w:tc>
        <w:tc>
          <w:tcPr>
            <w:tcW w:type="dxa" w:w="7559"/>
          </w:tcPr>
          <w:p>
            <w:pPr>
              <w:spacing w:after="20"/>
            </w:pPr>
            <w:r/>
            <w:r>
              <w:rPr>
                <w:sz w:val="17"/>
              </w:rPr>
              <w:t>Hazard reporting procedure: incident, hazard and near-miss report form JCE-WHS-FRM-001.</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10</w:t>
            </w:r>
          </w:p>
        </w:tc>
        <w:tc>
          <w:tcPr>
            <w:tcW w:type="dxa" w:w="7559"/>
            <w:shd w:val="clear" w:color="auto" w:fill="F7F7F7"/>
          </w:tcPr>
          <w:p>
            <w:pPr>
              <w:spacing w:after="20"/>
            </w:pPr>
            <w:r/>
            <w:r>
              <w:rPr>
                <w:sz w:val="17"/>
              </w:rPr>
              <w:t>Employees involved in WHS decisions (consultation procedure JCE-WHS-PRO-001).</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11</w:t>
            </w:r>
          </w:p>
        </w:tc>
        <w:tc>
          <w:tcPr>
            <w:tcW w:type="dxa" w:w="7559"/>
          </w:tcPr>
          <w:p>
            <w:pPr>
              <w:spacing w:after="20"/>
            </w:pPr>
            <w:r/>
            <w:r>
              <w:rPr>
                <w:sz w:val="17"/>
              </w:rPr>
              <w:t>Recording and analysing WHS statistics: incident register JCE-WHS-REG-002.</w:t>
            </w:r>
          </w:p>
        </w:tc>
        <w:tc>
          <w:tcPr>
            <w:tcW w:type="dxa" w:w="661"/>
          </w:tcPr>
          <w:p>
            <w:pPr>
              <w:spacing w:after="20"/>
            </w:pPr>
            <w:r/>
            <w:r>
              <w:rPr>
                <w:sz w:val="17"/>
              </w:rPr>
              <w:t>X</w:t>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12</w:t>
            </w:r>
          </w:p>
        </w:tc>
        <w:tc>
          <w:tcPr>
            <w:tcW w:type="dxa" w:w="7559"/>
            <w:shd w:val="clear" w:color="auto" w:fill="F7F7F7"/>
          </w:tcPr>
          <w:p>
            <w:pPr>
              <w:spacing w:after="20"/>
            </w:pPr>
            <w:r/>
            <w:r>
              <w:rPr>
                <w:sz w:val="17"/>
              </w:rPr>
              <w:t>SafeWork NSW (WorkCover) prohibition or improvement notices or fines in the past 12 months?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Any convictions?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13</w:t>
            </w:r>
          </w:p>
        </w:tc>
        <w:tc>
          <w:tcPr>
            <w:tcW w:type="dxa" w:w="7559"/>
            <w:shd w:val="clear" w:color="auto" w:fill="F7F7F7"/>
          </w:tcPr>
          <w:p>
            <w:pPr>
              <w:spacing w:after="20"/>
            </w:pPr>
            <w:r/>
            <w:r>
              <w:rPr>
                <w:sz w:val="17"/>
              </w:rPr>
              <w:t>Assessment of subcontractors' WHS capability: JCE-WHS-PRO-009 (attached).</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14</w:t>
            </w:r>
          </w:p>
        </w:tc>
        <w:tc>
          <w:tcPr>
            <w:tcW w:type="dxa" w:w="7559"/>
          </w:tcPr>
          <w:p>
            <w:pPr>
              <w:spacing w:after="20"/>
            </w:pPr>
            <w:r/>
            <w:r>
              <w:rPr>
                <w:sz w:val="17"/>
              </w:rPr>
              <w:t>People or resources nominated for the listed WHS duties: the Director.</w:t>
            </w:r>
          </w:p>
        </w:tc>
        <w:tc>
          <w:tcPr>
            <w:tcW w:type="dxa" w:w="661"/>
          </w:tcPr>
          <w:p>
            <w:pPr>
              <w:spacing w:after="20"/>
            </w:pPr>
            <w:r/>
            <w:r>
              <w:rPr>
                <w:sz w:val="17"/>
              </w:rPr>
              <w:t>X</w:t>
            </w:r>
          </w:p>
        </w:tc>
        <w:tc>
          <w:tcPr>
            <w:tcW w:type="dxa" w:w="661"/>
          </w:tcPr>
          <w:p>
            <w:pPr>
              <w:spacing w:after="20"/>
            </w:pPr>
            <w:r/>
            <w:r>
              <w:rPr>
                <w:sz w:val="17"/>
              </w:rPr>
            </w:r>
          </w:p>
        </w:tc>
      </w:tr>
    </w:tbl>
    <w:p>
      <w:pPr>
        <w:spacing w:after="40"/>
      </w:pPr>
    </w:p>
    <w:p>
      <w:pPr>
        <w:pStyle w:val="Heading1"/>
        <w:pBdr>
          <w:bottom w:val="single" w:sz="6" w:space="1" w:color="C9A227"/>
        </w:pBdr>
      </w:pPr>
      <w:r>
        <w:t>16   Industrial Relations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Persons currently employed: Full time [TBC - Jayden]; Part-time [TBC]; Casual [TBC]</w:t>
            </w:r>
          </w:p>
        </w:tc>
        <w:tc>
          <w:tcPr>
            <w:tcW w:type="dxa" w:w="661"/>
          </w:tcPr>
          <w:p>
            <w:pPr>
              <w:keepNext/>
              <w:spacing w:after="20"/>
            </w:pPr>
            <w:r/>
            <w:r>
              <w:rPr>
                <w:sz w:val="17"/>
              </w:rPr>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Persons working directly on this contract: Full time [TBC - Jayden]; Part-time [TBC]; Casual [TBC] (plus partner field crews)</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 to 14</w:t>
            </w:r>
          </w:p>
        </w:tc>
        <w:tc>
          <w:tcPr>
            <w:tcW w:type="dxa" w:w="7559"/>
          </w:tcPr>
          <w:p>
            <w:pPr>
              <w:spacing w:after="20"/>
            </w:pPr>
            <w:r/>
            <w:r>
              <w:rPr>
                <w:sz w:val="17"/>
              </w:rPr>
              <w:t>IR policy, qualified IR personnel, workplace contracts, contingency plans, legal employment and tax compliance, long service leave, IR record, grievance procedure, subcontractor IR compliance, coordination with unions, lost-time disputes, current disputes. [TBC - Jayden: answer each Yes or No on Council's form; no IR disputes are known to this draft]</w:t>
            </w:r>
          </w:p>
        </w:tc>
        <w:tc>
          <w:tcPr>
            <w:tcW w:type="dxa" w:w="661"/>
          </w:tcPr>
          <w:p>
            <w:pPr>
              <w:spacing w:after="20"/>
            </w:pPr>
            <w:r/>
            <w:r>
              <w:rPr>
                <w:sz w:val="17"/>
              </w:rPr>
            </w:r>
          </w:p>
        </w:tc>
        <w:tc>
          <w:tcPr>
            <w:tcW w:type="dxa" w:w="661"/>
          </w:tcPr>
          <w:p>
            <w:pPr>
              <w:spacing w:after="20"/>
            </w:pPr>
            <w:r/>
            <w:r>
              <w:rPr>
                <w:sz w:val="17"/>
              </w:rPr>
            </w:r>
          </w:p>
        </w:tc>
      </w:tr>
    </w:tbl>
    <w:p>
      <w:pPr>
        <w:spacing w:after="40"/>
      </w:pPr>
    </w:p>
    <w:p>
      <w:pPr>
        <w:pStyle w:val="Heading1"/>
        <w:pBdr>
          <w:bottom w:val="single" w:sz="6" w:space="1" w:color="C9A227"/>
        </w:pBdr>
      </w:pPr>
      <w:r>
        <w:t>17   Sustainability Questionnaire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Documented procedures for environmental incidents: Environmental Policy JCE-ENV-POL-001 and incident reporting (JCE-WHS-FRM-001). [TBC - Jayden: confirm]</w:t>
            </w:r>
          </w:p>
        </w:tc>
        <w:tc>
          <w:tcPr>
            <w:tcW w:type="dxa" w:w="661"/>
          </w:tcPr>
          <w:p>
            <w:pPr>
              <w:keepNext/>
              <w:spacing w:after="20"/>
            </w:pPr>
            <w:r/>
            <w:r>
              <w:rPr>
                <w:sz w:val="17"/>
              </w:rPr>
              <w:t>X</w:t>
            </w:r>
          </w:p>
        </w:tc>
        <w:tc>
          <w:tcPr>
            <w:tcW w:type="dxa" w:w="661"/>
          </w:tcPr>
          <w:p>
            <w:pPr>
              <w:keepNext/>
              <w:spacing w:after="20"/>
            </w:pPr>
            <w:r/>
            <w:r>
              <w:rPr>
                <w:sz w:val="17"/>
              </w:rPr>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Aware of the requirement to prepare, implement and review a project EMP and respond to Council audits.</w:t>
            </w:r>
          </w:p>
        </w:tc>
        <w:tc>
          <w:tcPr>
            <w:tcW w:type="dxa" w:w="661"/>
            <w:shd w:val="clear" w:color="auto" w:fill="F7F7F7"/>
          </w:tcPr>
          <w:p>
            <w:pPr>
              <w:spacing w:after="20"/>
            </w:pPr>
            <w:r/>
            <w:r>
              <w:rPr>
                <w:sz w:val="17"/>
              </w:rPr>
              <w:t>X</w:t>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3</w:t>
            </w:r>
          </w:p>
        </w:tc>
        <w:tc>
          <w:tcPr>
            <w:tcW w:type="dxa" w:w="7559"/>
          </w:tcPr>
          <w:p>
            <w:pPr>
              <w:spacing w:after="20"/>
            </w:pPr>
            <w:r/>
            <w:r>
              <w:rPr>
                <w:sz w:val="17"/>
              </w:rPr>
              <w:t>Any offence, notice or licence action under NSW environmental legislation?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4</w:t>
            </w:r>
          </w:p>
        </w:tc>
        <w:tc>
          <w:tcPr>
            <w:tcW w:type="dxa" w:w="7559"/>
            <w:shd w:val="clear" w:color="auto" w:fill="F7F7F7"/>
          </w:tcPr>
          <w:p>
            <w:pPr>
              <w:spacing w:after="20"/>
            </w:pPr>
            <w:r/>
            <w:r>
              <w:rPr>
                <w:sz w:val="17"/>
              </w:rPr>
              <w:t>Environmental Management System? Environmental Policy in place. [TBC - Jayden: answer]</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r>
          </w:p>
        </w:tc>
        <w:tc>
          <w:tcPr>
            <w:tcW w:type="dxa" w:w="7559"/>
          </w:tcPr>
          <w:p>
            <w:pPr>
              <w:spacing w:after="20"/>
            </w:pPr>
            <w:r/>
            <w:r>
              <w:rPr>
                <w:sz w:val="17"/>
              </w:rPr>
              <w:t>If Yes, is the system certified?</w:t>
            </w:r>
          </w:p>
        </w:tc>
        <w:tc>
          <w:tcPr>
            <w:tcW w:type="dxa" w:w="661"/>
          </w:tcPr>
          <w:p>
            <w:pPr>
              <w:spacing w:after="20"/>
            </w:pPr>
            <w:r/>
            <w:r>
              <w:rPr>
                <w:sz w:val="17"/>
              </w:rPr>
            </w:r>
          </w:p>
        </w:tc>
        <w:tc>
          <w:tcPr>
            <w:tcW w:type="dxa" w:w="661"/>
          </w:tcPr>
          <w:p>
            <w:pPr>
              <w:spacing w:after="20"/>
            </w:pPr>
            <w:r/>
            <w:r>
              <w:rPr>
                <w:sz w:val="17"/>
              </w:rPr>
              <w:t>X</w:t>
            </w:r>
          </w:p>
        </w:tc>
      </w:tr>
      <w:tr>
        <w:trPr>
          <w:cantSplit/>
        </w:trPr>
        <w:tc>
          <w:tcPr>
            <w:tcW w:type="dxa" w:w="756"/>
            <w:shd w:val="clear" w:color="auto" w:fill="F7F7F7"/>
          </w:tcPr>
          <w:p>
            <w:pPr>
              <w:spacing w:after="20"/>
            </w:pPr>
            <w:r/>
            <w:r>
              <w:rPr>
                <w:sz w:val="17"/>
              </w:rPr>
              <w:t>5</w:t>
            </w:r>
          </w:p>
        </w:tc>
        <w:tc>
          <w:tcPr>
            <w:tcW w:type="dxa" w:w="7559"/>
            <w:shd w:val="clear" w:color="auto" w:fill="F7F7F7"/>
          </w:tcPr>
          <w:p>
            <w:pPr>
              <w:spacing w:after="20"/>
            </w:pPr>
            <w:r/>
            <w:r>
              <w:rPr>
                <w:sz w:val="17"/>
              </w:rPr>
              <w:t>Advise on or work on upstream fossil fuel projects in Australia?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bl>
    <w:p>
      <w:pPr>
        <w:spacing w:after="40"/>
      </w:pPr>
    </w:p>
    <w:p>
      <w:pPr>
        <w:pStyle w:val="Heading1"/>
        <w:pBdr>
          <w:bottom w:val="single" w:sz="6" w:space="1" w:color="C9A227"/>
        </w:pBdr>
      </w:pPr>
      <w:r>
        <w:t>18   Modern Slavery Act Checklist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855"/>
        <w:gridCol w:w="5783"/>
      </w:tblGrid>
      <w:tr>
        <w:trPr>
          <w:tblHeader/>
          <w:cantSplit/>
        </w:trPr>
        <w:tc>
          <w:tcPr>
            <w:tcW w:type="dxa" w:w="3855"/>
            <w:shd w:val="clear" w:color="auto" w:fill="000000"/>
          </w:tcPr>
          <w:p>
            <w:pPr>
              <w:keepNext/>
            </w:pPr>
            <w:r/>
            <w:r>
              <w:rPr>
                <w:b/>
                <w:color w:val="FFFFFF"/>
                <w:sz w:val="17"/>
              </w:rPr>
              <w:t>Part A</w:t>
            </w:r>
          </w:p>
        </w:tc>
        <w:tc>
          <w:tcPr>
            <w:tcW w:type="dxa" w:w="5783"/>
            <w:shd w:val="clear" w:color="auto" w:fill="000000"/>
          </w:tcPr>
          <w:p>
            <w:pPr>
              <w:keepNext/>
            </w:pPr>
            <w:r/>
            <w:r>
              <w:rPr>
                <w:b/>
                <w:color w:val="FFFFFF"/>
                <w:sz w:val="17"/>
              </w:rPr>
              <w:t>Response</w:t>
            </w:r>
          </w:p>
        </w:tc>
      </w:tr>
      <w:tr>
        <w:trPr>
          <w:cantSplit/>
        </w:trPr>
        <w:tc>
          <w:tcPr>
            <w:tcW w:type="dxa" w:w="3855"/>
          </w:tcPr>
          <w:p>
            <w:pPr>
              <w:keepNext/>
              <w:spacing w:after="20"/>
            </w:pPr>
            <w:r/>
            <w:r>
              <w:rPr>
                <w:sz w:val="17"/>
              </w:rPr>
              <w:t>1. Subject to reporting under the Modern Slavery Act 2018 (Cth) or UK Act 2015?</w:t>
            </w:r>
          </w:p>
        </w:tc>
        <w:tc>
          <w:tcPr>
            <w:tcW w:type="dxa" w:w="5783"/>
          </w:tcPr>
          <w:p>
            <w:pPr>
              <w:keepNext/>
              <w:spacing w:after="20"/>
            </w:pPr>
            <w:r/>
            <w:r>
              <w:rPr>
                <w:sz w:val="17"/>
              </w:rPr>
              <w:t>No: JCE is below the reporting threshold. [TBC - Jayden: confirm]</w:t>
            </w:r>
          </w:p>
        </w:tc>
      </w:tr>
      <w:tr>
        <w:trPr>
          <w:cantSplit/>
        </w:trPr>
        <w:tc>
          <w:tcPr>
            <w:tcW w:type="dxa" w:w="3855"/>
            <w:shd w:val="clear" w:color="auto" w:fill="F7F7F7"/>
          </w:tcPr>
          <w:p>
            <w:pPr>
              <w:spacing w:after="20"/>
            </w:pPr>
            <w:r/>
            <w:r>
              <w:rPr>
                <w:sz w:val="17"/>
              </w:rPr>
              <w:t>2. How the business manages modern slavery risk</w:t>
            </w:r>
          </w:p>
        </w:tc>
        <w:tc>
          <w:tcPr>
            <w:tcW w:type="dxa" w:w="5783"/>
            <w:shd w:val="clear" w:color="auto" w:fill="F7F7F7"/>
          </w:tcPr>
          <w:p>
            <w:pPr>
              <w:spacing w:after="20"/>
            </w:pPr>
            <w:r/>
            <w:r>
              <w:rPr>
                <w:sz w:val="17"/>
              </w:rPr>
              <w:t>Some processes have been introduced and a rollout plan is underway (Modern Slavery Policy JCE-WHS-POL-003, attached).</w:t>
            </w:r>
          </w:p>
        </w:tc>
      </w:tr>
      <w:tr>
        <w:trPr>
          <w:cantSplit/>
        </w:trPr>
        <w:tc>
          <w:tcPr>
            <w:tcW w:type="dxa" w:w="3855"/>
          </w:tcPr>
          <w:p>
            <w:pPr>
              <w:spacing w:after="20"/>
            </w:pPr>
            <w:r/>
            <w:r>
              <w:rPr>
                <w:sz w:val="17"/>
              </w:rPr>
              <w:t>3. Willing to work with Council and the NSW Government?</w:t>
            </w:r>
          </w:p>
        </w:tc>
        <w:tc>
          <w:tcPr>
            <w:tcW w:type="dxa" w:w="5783"/>
          </w:tcPr>
          <w:p>
            <w:pPr>
              <w:spacing w:after="20"/>
            </w:pPr>
            <w:r/>
            <w:r>
              <w:rPr>
                <w:sz w:val="17"/>
              </w:rPr>
              <w:t>Yes</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373"/>
        <w:gridCol w:w="6265"/>
      </w:tblGrid>
      <w:tr>
        <w:trPr>
          <w:tblHeader/>
          <w:cantSplit/>
        </w:trPr>
        <w:tc>
          <w:tcPr>
            <w:tcW w:type="dxa" w:w="3373"/>
            <w:shd w:val="clear" w:color="auto" w:fill="000000"/>
          </w:tcPr>
          <w:p>
            <w:pPr>
              <w:keepNext/>
            </w:pPr>
            <w:r/>
            <w:r>
              <w:rPr>
                <w:b/>
                <w:color w:val="FFFFFF"/>
                <w:sz w:val="17"/>
              </w:rPr>
              <w:t>Part B</w:t>
            </w:r>
          </w:p>
        </w:tc>
        <w:tc>
          <w:tcPr>
            <w:tcW w:type="dxa" w:w="6265"/>
            <w:shd w:val="clear" w:color="auto" w:fill="000000"/>
          </w:tcPr>
          <w:p>
            <w:pPr>
              <w:keepNext/>
            </w:pPr>
            <w:r/>
            <w:r>
              <w:rPr>
                <w:b/>
                <w:color w:val="FFFFFF"/>
                <w:sz w:val="17"/>
              </w:rPr>
              <w:t>Response</w:t>
            </w:r>
          </w:p>
        </w:tc>
      </w:tr>
      <w:tr>
        <w:trPr>
          <w:cantSplit/>
        </w:trPr>
        <w:tc>
          <w:tcPr>
            <w:tcW w:type="dxa" w:w="3373"/>
          </w:tcPr>
          <w:p>
            <w:pPr>
              <w:keepNext/>
              <w:spacing w:after="20"/>
            </w:pPr>
            <w:r/>
            <w:r>
              <w:rPr>
                <w:sz w:val="17"/>
              </w:rPr>
              <w:t>B1.1 Operations and countries</w:t>
            </w:r>
          </w:p>
        </w:tc>
        <w:tc>
          <w:tcPr>
            <w:tcW w:type="dxa" w:w="6265"/>
          </w:tcPr>
          <w:p>
            <w:pPr>
              <w:keepNext/>
              <w:spacing w:after="20"/>
            </w:pPr>
            <w:r/>
            <w:r>
              <w:rPr>
                <w:sz w:val="17"/>
              </w:rPr>
              <w:t>JCE Infrastructure Pty Ltd provides professional civil and hydraulic engineering services in Australia, delivered by its Director with associates and Australian subconsultants.</w:t>
            </w:r>
          </w:p>
        </w:tc>
      </w:tr>
      <w:tr>
        <w:trPr>
          <w:cantSplit/>
        </w:trPr>
        <w:tc>
          <w:tcPr>
            <w:tcW w:type="dxa" w:w="3373"/>
            <w:shd w:val="clear" w:color="auto" w:fill="F7F7F7"/>
          </w:tcPr>
          <w:p>
            <w:pPr>
              <w:spacing w:after="20"/>
            </w:pPr>
            <w:r/>
            <w:r>
              <w:rPr>
                <w:sz w:val="17"/>
              </w:rPr>
              <w:t>B1.2 Supply chain</w:t>
            </w:r>
          </w:p>
        </w:tc>
        <w:tc>
          <w:tcPr>
            <w:tcW w:type="dxa" w:w="6265"/>
            <w:shd w:val="clear" w:color="auto" w:fill="F7F7F7"/>
          </w:tcPr>
          <w:p>
            <w:pPr>
              <w:spacing w:after="20"/>
            </w:pPr>
            <w:r/>
            <w:r>
              <w:rPr>
                <w:sz w:val="17"/>
              </w:rPr>
              <w:t>Mainly software, IT equipment, vehicles, insurance and Australian subconsultants (for this contract, an Australian data capture firm and an Australian valuer).</w:t>
            </w:r>
          </w:p>
        </w:tc>
      </w:tr>
      <w:tr>
        <w:trPr>
          <w:cantSplit/>
        </w:trPr>
        <w:tc>
          <w:tcPr>
            <w:tcW w:type="dxa" w:w="3373"/>
          </w:tcPr>
          <w:p>
            <w:pPr>
              <w:spacing w:after="20"/>
            </w:pPr>
            <w:r/>
            <w:r>
              <w:rPr>
                <w:sz w:val="17"/>
              </w:rPr>
              <w:t>B1.3 How risks are identified</w:t>
            </w:r>
          </w:p>
        </w:tc>
        <w:tc>
          <w:tcPr>
            <w:tcW w:type="dxa" w:w="6265"/>
          </w:tcPr>
          <w:p>
            <w:pPr>
              <w:spacing w:after="20"/>
            </w:pPr>
            <w:r/>
            <w:r>
              <w:rPr>
                <w:sz w:val="17"/>
              </w:rPr>
              <w:t>Under the Modern Slavery Policy (JCE-WHS-POL-003) and subconsultant onboarding checks under JCE-WHS-PRO-009; risks assessed as low.</w:t>
            </w:r>
          </w:p>
        </w:tc>
      </w:tr>
      <w:tr>
        <w:trPr>
          <w:cantSplit/>
        </w:trPr>
        <w:tc>
          <w:tcPr>
            <w:tcW w:type="dxa" w:w="3373"/>
            <w:shd w:val="clear" w:color="auto" w:fill="F7F7F7"/>
          </w:tcPr>
          <w:p>
            <w:pPr>
              <w:spacing w:after="20"/>
            </w:pPr>
            <w:r/>
            <w:r>
              <w:rPr>
                <w:sz w:val="17"/>
              </w:rPr>
              <w:t>B1.4 Risks in the services for this RFT</w:t>
            </w:r>
          </w:p>
        </w:tc>
        <w:tc>
          <w:tcPr>
            <w:tcW w:type="dxa" w:w="6265"/>
            <w:shd w:val="clear" w:color="auto" w:fill="F7F7F7"/>
          </w:tcPr>
          <w:p>
            <w:pPr>
              <w:spacing w:after="20"/>
            </w:pPr>
            <w:r/>
            <w:r>
              <w:rPr>
                <w:sz w:val="17"/>
              </w:rPr>
              <w:t>No specific risk identified. The main exposure is IT and field equipment (tablets, cameras, GPS receivers) bought by subcontractors, which JCE will ask them to cover in their own policies.</w:t>
            </w:r>
          </w:p>
        </w:tc>
      </w:tr>
      <w:tr>
        <w:trPr>
          <w:cantSplit/>
        </w:trPr>
        <w:tc>
          <w:tcPr>
            <w:tcW w:type="dxa" w:w="3373"/>
          </w:tcPr>
          <w:p>
            <w:pPr>
              <w:spacing w:after="20"/>
            </w:pPr>
            <w:r/>
            <w:r>
              <w:rPr>
                <w:sz w:val="17"/>
              </w:rPr>
              <w:t>B2.1 How risk is addressed</w:t>
            </w:r>
          </w:p>
        </w:tc>
        <w:tc>
          <w:tcPr>
            <w:tcW w:type="dxa" w:w="6265"/>
          </w:tcPr>
          <w:p>
            <w:pPr>
              <w:spacing w:after="20"/>
            </w:pPr>
            <w:r/>
            <w:r>
              <w:rPr>
                <w:sz w:val="17"/>
              </w:rPr>
              <w:t>Modern Slavery Policy; subconsultant onboarding checks; subcontractors on this contract confirm compliance in writing before engagement.</w:t>
            </w:r>
          </w:p>
        </w:tc>
      </w:tr>
      <w:tr>
        <w:trPr>
          <w:cantSplit/>
        </w:trPr>
        <w:tc>
          <w:tcPr>
            <w:tcW w:type="dxa" w:w="3373"/>
            <w:shd w:val="clear" w:color="auto" w:fill="F7F7F7"/>
          </w:tcPr>
          <w:p>
            <w:pPr>
              <w:spacing w:after="20"/>
            </w:pPr>
            <w:r/>
            <w:r>
              <w:rPr>
                <w:sz w:val="17"/>
              </w:rPr>
              <w:t>B2.2 Member of or certified by a social or workforce audit body?</w:t>
            </w:r>
          </w:p>
        </w:tc>
        <w:tc>
          <w:tcPr>
            <w:tcW w:type="dxa" w:w="6265"/>
            <w:shd w:val="clear" w:color="auto" w:fill="F7F7F7"/>
          </w:tcPr>
          <w:p>
            <w:pPr>
              <w:spacing w:after="20"/>
            </w:pPr>
            <w:r/>
            <w:r>
              <w:rPr>
                <w:sz w:val="17"/>
              </w:rPr>
              <w:t>No</w:t>
            </w:r>
          </w:p>
        </w:tc>
      </w:tr>
      <w:tr>
        <w:trPr>
          <w:cantSplit/>
        </w:trPr>
        <w:tc>
          <w:tcPr>
            <w:tcW w:type="dxa" w:w="3373"/>
          </w:tcPr>
          <w:p>
            <w:pPr>
              <w:spacing w:after="20"/>
            </w:pPr>
            <w:r/>
            <w:r>
              <w:rPr>
                <w:sz w:val="17"/>
              </w:rPr>
              <w:t>B2.3 Plans if no measures</w:t>
            </w:r>
          </w:p>
        </w:tc>
        <w:tc>
          <w:tcPr>
            <w:tcW w:type="dxa" w:w="6265"/>
          </w:tcPr>
          <w:p>
            <w:pPr>
              <w:spacing w:after="20"/>
            </w:pPr>
            <w:r/>
            <w:r>
              <w:rPr>
                <w:sz w:val="17"/>
              </w:rPr>
              <w:t>Not applicable: measures are in place.</w:t>
            </w:r>
          </w:p>
        </w:tc>
      </w:tr>
      <w:tr>
        <w:trPr>
          <w:cantSplit/>
        </w:trPr>
        <w:tc>
          <w:tcPr>
            <w:tcW w:type="dxa" w:w="3373"/>
            <w:shd w:val="clear" w:color="auto" w:fill="F7F7F7"/>
          </w:tcPr>
          <w:p>
            <w:pPr>
              <w:spacing w:after="20"/>
            </w:pPr>
            <w:r/>
            <w:r>
              <w:rPr>
                <w:sz w:val="17"/>
              </w:rPr>
              <w:t>B2.4 Further information</w:t>
            </w:r>
          </w:p>
        </w:tc>
        <w:tc>
          <w:tcPr>
            <w:tcW w:type="dxa" w:w="6265"/>
            <w:shd w:val="clear" w:color="auto" w:fill="F7F7F7"/>
          </w:tcPr>
          <w:p>
            <w:pPr>
              <w:spacing w:after="20"/>
            </w:pPr>
            <w:r/>
            <w:r>
              <w:rPr>
                <w:sz w:val="17"/>
              </w:rPr>
              <w:t>Modern Slavery Policy JCE-WHS-POL-003 attached.</w:t>
            </w:r>
          </w:p>
        </w:tc>
      </w:tr>
      <w:tr>
        <w:trPr>
          <w:cantSplit/>
        </w:trPr>
        <w:tc>
          <w:tcPr>
            <w:tcW w:type="dxa" w:w="3373"/>
          </w:tcPr>
          <w:p>
            <w:pPr>
              <w:spacing w:after="20"/>
            </w:pPr>
            <w:r/>
            <w:r>
              <w:rPr>
                <w:sz w:val="17"/>
              </w:rPr>
              <w:t>B3.1 Tracking effectiveness</w:t>
            </w:r>
          </w:p>
        </w:tc>
        <w:tc>
          <w:tcPr>
            <w:tcW w:type="dxa" w:w="6265"/>
          </w:tcPr>
          <w:p>
            <w:pPr>
              <w:spacing w:after="20"/>
            </w:pPr>
            <w:r/>
            <w:r>
              <w:rPr>
                <w:sz w:val="17"/>
              </w:rPr>
              <w:t>Annual policy review by the Director; subcontractor confirmations kept on file.</w:t>
            </w:r>
          </w:p>
        </w:tc>
      </w:tr>
      <w:tr>
        <w:trPr>
          <w:cantSplit/>
        </w:trPr>
        <w:tc>
          <w:tcPr>
            <w:tcW w:type="dxa" w:w="3373"/>
            <w:shd w:val="clear" w:color="auto" w:fill="F7F7F7"/>
          </w:tcPr>
          <w:p>
            <w:pPr>
              <w:spacing w:after="20"/>
            </w:pPr>
            <w:r/>
            <w:r>
              <w:rPr>
                <w:sz w:val="17"/>
              </w:rPr>
              <w:t>B3.2 Engaging suppliers for this RFT</w:t>
            </w:r>
          </w:p>
        </w:tc>
        <w:tc>
          <w:tcPr>
            <w:tcW w:type="dxa" w:w="6265"/>
            <w:shd w:val="clear" w:color="auto" w:fill="F7F7F7"/>
          </w:tcPr>
          <w:p>
            <w:pPr>
              <w:spacing w:after="20"/>
            </w:pPr>
            <w:r/>
            <w:r>
              <w:rPr>
                <w:sz w:val="17"/>
              </w:rPr>
              <w:t>Each subcontractor confirms it complies with JCE's Modern Slavery Policy, or provides its own, before engagement; the subcontract requires it to notify JCE of any risk identified.</w:t>
            </w:r>
          </w:p>
        </w:tc>
      </w:tr>
    </w:tbl>
    <w:p>
      <w:pPr>
        <w:spacing w:after="40"/>
      </w:pPr>
    </w:p>
    <w:p>
      <w:pPr>
        <w:pStyle w:val="Heading1"/>
        <w:pBdr>
          <w:bottom w:val="single" w:sz="6" w:space="1" w:color="C9A227"/>
        </w:pBdr>
      </w:pPr>
      <w:r>
        <w:t>19   Environmental, Local and Aboriginal &amp; Torres Strait Islander Checklist</w:t>
      </w:r>
    </w:p>
    <w:p>
      <w:r>
        <w:rPr>
          <w:i w:val="0"/>
        </w:rPr>
        <w:t>Schedule 1 of the RFT does not tick this checklist, but it is an evaluation criterion, so it is completed.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56"/>
        <w:gridCol w:w="7559"/>
        <w:gridCol w:w="661"/>
        <w:gridCol w:w="661"/>
      </w:tblGrid>
      <w:tr>
        <w:trPr>
          <w:tblHeader/>
          <w:cantSplit/>
        </w:trPr>
        <w:tc>
          <w:tcPr>
            <w:tcW w:type="dxa" w:w="756"/>
            <w:shd w:val="clear" w:color="auto" w:fill="000000"/>
          </w:tcPr>
          <w:p>
            <w:pPr>
              <w:keepNext/>
            </w:pPr>
            <w:r/>
            <w:r>
              <w:rPr>
                <w:b/>
                <w:color w:val="FFFFFF"/>
                <w:sz w:val="17"/>
              </w:rPr>
              <w:t>Item</w:t>
            </w:r>
          </w:p>
        </w:tc>
        <w:tc>
          <w:tcPr>
            <w:tcW w:type="dxa" w:w="7559"/>
            <w:shd w:val="clear" w:color="auto" w:fill="000000"/>
          </w:tcPr>
          <w:p>
            <w:pPr>
              <w:keepNext/>
            </w:pPr>
            <w:r/>
            <w:r>
              <w:rPr>
                <w:b/>
                <w:color w:val="FFFFFF"/>
                <w:sz w:val="17"/>
              </w:rPr>
              <w:t>Subject</w:t>
            </w:r>
          </w:p>
        </w:tc>
        <w:tc>
          <w:tcPr>
            <w:tcW w:type="dxa" w:w="661"/>
            <w:shd w:val="clear" w:color="auto" w:fill="000000"/>
          </w:tcPr>
          <w:p>
            <w:pPr>
              <w:keepNext/>
            </w:pPr>
            <w:r/>
            <w:r>
              <w:rPr>
                <w:b/>
                <w:color w:val="FFFFFF"/>
                <w:sz w:val="17"/>
              </w:rPr>
              <w:t>Yes</w:t>
            </w:r>
          </w:p>
        </w:tc>
        <w:tc>
          <w:tcPr>
            <w:tcW w:type="dxa" w:w="661"/>
            <w:shd w:val="clear" w:color="auto" w:fill="000000"/>
          </w:tcPr>
          <w:p>
            <w:pPr>
              <w:keepNext/>
            </w:pPr>
            <w:r/>
            <w:r>
              <w:rPr>
                <w:b/>
                <w:color w:val="FFFFFF"/>
                <w:sz w:val="17"/>
              </w:rPr>
              <w:t>No</w:t>
            </w:r>
          </w:p>
        </w:tc>
      </w:tr>
      <w:tr>
        <w:trPr>
          <w:cantSplit/>
        </w:trPr>
        <w:tc>
          <w:tcPr>
            <w:tcW w:type="dxa" w:w="756"/>
          </w:tcPr>
          <w:p>
            <w:pPr>
              <w:keepNext/>
              <w:spacing w:after="20"/>
            </w:pPr>
            <w:r/>
            <w:r>
              <w:rPr>
                <w:sz w:val="17"/>
              </w:rPr>
              <w:t>1</w:t>
            </w:r>
          </w:p>
        </w:tc>
        <w:tc>
          <w:tcPr>
            <w:tcW w:type="dxa" w:w="7559"/>
          </w:tcPr>
          <w:p>
            <w:pPr>
              <w:keepNext/>
              <w:spacing w:after="20"/>
            </w:pPr>
            <w:r/>
            <w:r>
              <w:rPr>
                <w:sz w:val="17"/>
              </w:rPr>
              <w:t>Local business? JCE is based in Gunnedah, NSW.</w:t>
            </w:r>
          </w:p>
        </w:tc>
        <w:tc>
          <w:tcPr>
            <w:tcW w:type="dxa" w:w="661"/>
          </w:tcPr>
          <w:p>
            <w:pPr>
              <w:keepNext/>
              <w:spacing w:after="20"/>
            </w:pPr>
            <w:r/>
            <w:r>
              <w:rPr>
                <w:sz w:val="17"/>
              </w:rPr>
            </w:r>
          </w:p>
        </w:tc>
        <w:tc>
          <w:tcPr>
            <w:tcW w:type="dxa" w:w="661"/>
          </w:tcPr>
          <w:p>
            <w:pPr>
              <w:keepNext/>
              <w:spacing w:after="20"/>
            </w:pPr>
            <w:r/>
            <w:r>
              <w:rPr>
                <w:sz w:val="17"/>
              </w:rPr>
              <w:t>X</w:t>
            </w:r>
          </w:p>
        </w:tc>
      </w:tr>
      <w:tr>
        <w:trPr>
          <w:cantSplit/>
        </w:trPr>
        <w:tc>
          <w:tcPr>
            <w:tcW w:type="dxa" w:w="756"/>
            <w:shd w:val="clear" w:color="auto" w:fill="F7F7F7"/>
          </w:tcPr>
          <w:p>
            <w:pPr>
              <w:spacing w:after="20"/>
            </w:pPr>
            <w:r/>
            <w:r>
              <w:rPr>
                <w:sz w:val="17"/>
              </w:rPr>
              <w:t>2</w:t>
            </w:r>
          </w:p>
        </w:tc>
        <w:tc>
          <w:tcPr>
            <w:tcW w:type="dxa" w:w="7559"/>
            <w:shd w:val="clear" w:color="auto" w:fill="F7F7F7"/>
          </w:tcPr>
          <w:p>
            <w:pPr>
              <w:spacing w:after="20"/>
            </w:pPr>
            <w:r/>
            <w:r>
              <w:rPr>
                <w:sz w:val="17"/>
              </w:rPr>
              <w:t>Employ people who reside in the Inner West area?</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t>X</w:t>
            </w:r>
          </w:p>
        </w:tc>
      </w:tr>
      <w:tr>
        <w:trPr>
          <w:cantSplit/>
        </w:trPr>
        <w:tc>
          <w:tcPr>
            <w:tcW w:type="dxa" w:w="756"/>
          </w:tcPr>
          <w:p>
            <w:pPr>
              <w:spacing w:after="20"/>
            </w:pPr>
            <w:r/>
            <w:r>
              <w:rPr>
                <w:sz w:val="17"/>
              </w:rPr>
              <w:t>3</w:t>
            </w:r>
          </w:p>
        </w:tc>
        <w:tc>
          <w:tcPr>
            <w:tcW w:type="dxa" w:w="7559"/>
          </w:tcPr>
          <w:p>
            <w:pPr>
              <w:spacing w:after="20"/>
            </w:pPr>
            <w:r/>
            <w:r>
              <w:rPr>
                <w:sz w:val="17"/>
              </w:rPr>
              <w:t>Aboriginal or Torres Strait Islander business? Approximate number of staff who identify: [TBC - Jayden]</w:t>
            </w:r>
          </w:p>
        </w:tc>
        <w:tc>
          <w:tcPr>
            <w:tcW w:type="dxa" w:w="661"/>
          </w:tcPr>
          <w:p>
            <w:pPr>
              <w:spacing w:after="20"/>
            </w:pPr>
            <w:r/>
            <w:r>
              <w:rPr>
                <w:sz w:val="17"/>
              </w:rPr>
            </w:r>
          </w:p>
        </w:tc>
        <w:tc>
          <w:tcPr>
            <w:tcW w:type="dxa" w:w="661"/>
          </w:tcPr>
          <w:p>
            <w:pPr>
              <w:spacing w:after="20"/>
            </w:pPr>
            <w:r/>
            <w:r>
              <w:rPr>
                <w:sz w:val="17"/>
              </w:rPr>
            </w:r>
          </w:p>
        </w:tc>
      </w:tr>
      <w:tr>
        <w:trPr>
          <w:cantSplit/>
        </w:trPr>
        <w:tc>
          <w:tcPr>
            <w:tcW w:type="dxa" w:w="756"/>
            <w:shd w:val="clear" w:color="auto" w:fill="F7F7F7"/>
          </w:tcPr>
          <w:p>
            <w:pPr>
              <w:spacing w:after="20"/>
            </w:pPr>
            <w:r/>
            <w:r>
              <w:rPr>
                <w:sz w:val="17"/>
              </w:rPr>
              <w:t>4</w:t>
            </w:r>
          </w:p>
        </w:tc>
        <w:tc>
          <w:tcPr>
            <w:tcW w:type="dxa" w:w="7559"/>
            <w:shd w:val="clear" w:color="auto" w:fill="F7F7F7"/>
          </w:tcPr>
          <w:p>
            <w:pPr>
              <w:spacing w:after="20"/>
            </w:pPr>
            <w:r/>
            <w:r>
              <w:rPr>
                <w:sz w:val="17"/>
              </w:rPr>
              <w:t>Social enterprise? [TBC - Jayden]</w:t>
            </w:r>
          </w:p>
        </w:tc>
        <w:tc>
          <w:tcPr>
            <w:tcW w:type="dxa" w:w="661"/>
            <w:shd w:val="clear" w:color="auto" w:fill="F7F7F7"/>
          </w:tcPr>
          <w:p>
            <w:pPr>
              <w:spacing w:after="20"/>
            </w:pPr>
            <w:r/>
            <w:r>
              <w:rPr>
                <w:sz w:val="17"/>
              </w:rPr>
            </w:r>
          </w:p>
        </w:tc>
        <w:tc>
          <w:tcPr>
            <w:tcW w:type="dxa" w:w="661"/>
            <w:shd w:val="clear" w:color="auto" w:fill="F7F7F7"/>
          </w:tcPr>
          <w:p>
            <w:pPr>
              <w:spacing w:after="20"/>
            </w:pPr>
            <w:r/>
            <w:r>
              <w:rPr>
                <w:sz w:val="17"/>
              </w:rPr>
            </w:r>
          </w:p>
        </w:tc>
      </w:tr>
      <w:tr>
        <w:trPr>
          <w:cantSplit/>
        </w:trPr>
        <w:tc>
          <w:tcPr>
            <w:tcW w:type="dxa" w:w="756"/>
          </w:tcPr>
          <w:p>
            <w:pPr>
              <w:spacing w:after="20"/>
            </w:pPr>
            <w:r/>
            <w:r>
              <w:rPr>
                <w:sz w:val="17"/>
              </w:rPr>
              <w:t>5</w:t>
            </w:r>
          </w:p>
        </w:tc>
        <w:tc>
          <w:tcPr>
            <w:tcW w:type="dxa" w:w="7559"/>
          </w:tcPr>
          <w:p>
            <w:pPr>
              <w:spacing w:after="20"/>
            </w:pPr>
            <w:r/>
            <w:r>
              <w:rPr>
                <w:sz w:val="17"/>
              </w:rPr>
              <w:t>Employ persons with a disability? [TBC - Jayden]</w:t>
            </w:r>
          </w:p>
        </w:tc>
        <w:tc>
          <w:tcPr>
            <w:tcW w:type="dxa" w:w="661"/>
          </w:tcPr>
          <w:p>
            <w:pPr>
              <w:spacing w:after="20"/>
            </w:pPr>
            <w:r/>
            <w:r>
              <w:rPr>
                <w:sz w:val="17"/>
              </w:rPr>
            </w:r>
          </w:p>
        </w:tc>
        <w:tc>
          <w:tcPr>
            <w:tcW w:type="dxa" w:w="661"/>
          </w:tcPr>
          <w:p>
            <w:pPr>
              <w:spacing w:after="20"/>
            </w:pPr>
            <w:r/>
            <w:r>
              <w:rPr>
                <w:sz w:val="17"/>
              </w:rPr>
            </w:r>
          </w:p>
        </w:tc>
      </w:tr>
    </w:tbl>
    <w:p>
      <w:pPr>
        <w:spacing w:after="40"/>
      </w:pPr>
    </w:p>
    <w:p>
      <w:pPr>
        <w:pStyle w:val="Heading1"/>
        <w:pBdr>
          <w:bottom w:val="single" w:sz="6" w:space="1" w:color="C9A227"/>
        </w:pBdr>
      </w:pPr>
      <w:r>
        <w:t>20   Other</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Requested Information</w:t>
            </w:r>
          </w:p>
        </w:tc>
        <w:tc>
          <w:tcPr>
            <w:tcW w:type="dxa" w:w="6626"/>
          </w:tcPr>
          <w:p>
            <w:pPr>
              <w:spacing w:after="20"/>
            </w:pPr>
            <w:r/>
            <w:r>
              <w:rPr>
                <w:sz w:val="18"/>
              </w:rPr>
              <w:t>Attachments to this Tender (all referencing RFT 47-26)</w:t>
            </w:r>
          </w:p>
        </w:tc>
      </w:tr>
      <w:tr>
        <w:trPr>
          <w:cantSplit/>
        </w:trPr>
        <w:tc>
          <w:tcPr>
            <w:tcW w:type="dxa" w:w="3012"/>
            <w:shd w:val="clear" w:color="auto" w:fill="F3E9C6"/>
          </w:tcPr>
          <w:p>
            <w:r/>
            <w:r>
              <w:rPr>
                <w:b/>
                <w:sz w:val="18"/>
              </w:rPr>
              <w:t>Response</w:t>
            </w:r>
          </w:p>
        </w:tc>
        <w:tc>
          <w:tcPr>
            <w:tcW w:type="dxa" w:w="6626"/>
          </w:tcPr>
          <w:p>
            <w:pPr>
              <w:spacing w:after="20"/>
            </w:pPr>
            <w:r/>
            <w:r>
              <w:rPr>
                <w:sz w:val="18"/>
              </w:rPr>
              <w:t>1. JCE_FP_VP527819_Final_RevF.pdf: fee proposal (methodology, GIS system, QA, program and Gantt chart, team, Optional Service A, pricing basis)</w:t>
            </w:r>
          </w:p>
          <w:p>
            <w:pPr>
              <w:spacing w:after="20"/>
            </w:pPr>
            <w:r>
              <w:rPr>
                <w:sz w:val="18"/>
              </w:rPr>
              <w:t>2. JCE Capability Statement - Councils.pdf</w:t>
            </w:r>
          </w:p>
          <w:p>
            <w:pPr>
              <w:spacing w:after="20"/>
            </w:pPr>
            <w:r>
              <w:rPr>
                <w:sz w:val="18"/>
              </w:rPr>
              <w:t>3. Callen-Pell_NER-02_Detailed_CV.pdf</w:t>
            </w:r>
          </w:p>
          <w:p>
            <w:pPr>
              <w:spacing w:after="20"/>
            </w:pPr>
            <w:r>
              <w:rPr>
                <w:sz w:val="18"/>
              </w:rPr>
              <w:t>4. Certificate of currency (PI and PL, 13/07/2026); workers compensation certificate [TBC - Jayden]; motor vehicle certificate (NRMA, 18/09/2026)</w:t>
            </w:r>
          </w:p>
          <w:p>
            <w:pPr>
              <w:spacing w:after="20"/>
            </w:pPr>
            <w:r>
              <w:rPr>
                <w:sz w:val="18"/>
              </w:rPr>
              <w:t>5. JCE-QMS-POL-001 Quality Policy</w:t>
            </w:r>
          </w:p>
          <w:p>
            <w:pPr>
              <w:spacing w:after="20"/>
            </w:pPr>
            <w:r>
              <w:rPr>
                <w:sz w:val="18"/>
              </w:rPr>
              <w:t>6. JCE-WHS-POL-001 WHS Policy; JCE_WHS_Management_System_2026-06-22 (contents page); JCE-WHS-PLN-001 WHS Management Plan; JCE-WHS-SWMS-001; JCE-WHS-PRO-008; JCE-WHS-PRO-009; JCE-WHS-FRM-001; JCE-WHS-FRM-002</w:t>
            </w:r>
          </w:p>
          <w:p>
            <w:pPr>
              <w:spacing w:after="20"/>
            </w:pPr>
            <w:r>
              <w:rPr>
                <w:sz w:val="18"/>
              </w:rPr>
              <w:t>7. JCE-WHS-POL-003 Modern Slavery Policy</w:t>
            </w:r>
          </w:p>
          <w:p>
            <w:pPr>
              <w:spacing w:after="20"/>
            </w:pPr>
            <w:r>
              <w:rPr>
                <w:sz w:val="18"/>
              </w:rPr>
              <w:t>8. JCE-ENV-POL-001 Environmental Policy</w:t>
            </w:r>
          </w:p>
          <w:p>
            <w:pPr>
              <w:spacing w:after="20"/>
            </w:pPr>
            <w:r>
              <w:rPr>
                <w:sz w:val="18"/>
              </w:rPr>
              <w:t>9. Partner company profiles, CVs and certificates of currency [TBC - Jayden: from quotes]</w:t>
            </w:r>
          </w:p>
        </w:tc>
      </w:tr>
    </w:tbl>
    <w:p>
      <w:pPr>
        <w:spacing w:after="40"/>
      </w:pP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Pty Ltd  |  RFT 47-26 Returnable Documents (completed)  |  Transport Assets Condition Audit &amp; Revaluations 2026/27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