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000000"/>
          <w:sz w:val="34"/>
        </w:rPr>
        <w:t>JCE INFRASTRUCTURE PTY LTD</w:t>
      </w:r>
    </w:p>
    <w:p>
      <w:pPr>
        <w:spacing w:after="20"/>
      </w:pPr>
      <w:r>
        <w:rPr>
          <w:b/>
          <w:i w:val="0"/>
          <w:color w:val="C9A227"/>
          <w:sz w:val="18"/>
        </w:rPr>
        <w:t>CIVIL, HYDRAULICS AND INFRASTRUCTURE ENGINEERING</w:t>
      </w:r>
    </w:p>
    <w:p>
      <w:pPr>
        <w:spacing w:after="0"/>
      </w:pPr>
      <w:r>
        <w:rPr>
          <w:b w:val="0"/>
          <w:i w:val="0"/>
          <w:color w:val="555555"/>
          <w:sz w:val="18"/>
        </w:rPr>
        <w:t>ABN 29 699 165 663   |   0477 207 027   |   jayden@jceinfrastructure.com.au</w:t>
      </w:r>
    </w:p>
    <w:p>
      <w:pPr>
        <w:spacing w:after="160"/>
        <w:pBdr>
          <w:bottom w:val="single" w:sz="18" w:space="1" w:color="C9A227"/>
        </w:pBdr>
      </w:pPr>
      <w:r>
        <w:rPr>
          <w:b w:val="0"/>
          <w:i w:val="0"/>
          <w:color w:val="555555"/>
          <w:sz w:val="18"/>
        </w:rPr>
        <w:t>756 Quia Road, Gunnedah NSW 2380   |   Servicing NSW and QLD</w:t>
      </w:r>
    </w:p>
    <w:p>
      <w:pPr>
        <w:spacing w:after="0"/>
      </w:pPr>
      <w:r>
        <w:rPr>
          <w:b/>
          <w:i w:val="0"/>
          <w:sz w:val="20"/>
        </w:rPr>
        <w:t>Our ref:</w:t>
      </w:r>
      <w:r>
        <w:rPr>
          <w:b w:val="0"/>
          <w:i w:val="0"/>
          <w:sz w:val="20"/>
        </w:rPr>
        <w:t xml:space="preserve"> FP-011 Rev B (RFQ-FP011-02)</w:t>
      </w:r>
    </w:p>
    <w:p>
      <w:pPr>
        <w:spacing w:after="120"/>
      </w:pPr>
      <w:r>
        <w:rPr>
          <w:b/>
          <w:i w:val="0"/>
          <w:sz w:val="20"/>
        </w:rPr>
        <w:t>Date:</w:t>
      </w:r>
      <w:r>
        <w:rPr>
          <w:b w:val="0"/>
          <w:i w:val="0"/>
          <w:sz w:val="20"/>
        </w:rPr>
        <w:t xml:space="preserve"> 12/10/2026</w:t>
      </w:r>
    </w:p>
    <w:p>
      <w:pPr>
        <w:spacing w:after="0"/>
      </w:pPr>
      <w:r>
        <w:rPr>
          <w:b w:val="0"/>
          <w:i w:val="0"/>
          <w:sz w:val="20"/>
        </w:rPr>
        <w:t>Mr Bradley Jones, Principal Traffic Engineer, Premise Australia (Townsville)</w:t>
      </w:r>
    </w:p>
    <w:p>
      <w:pPr>
        <w:spacing w:after="160"/>
      </w:pPr>
      <w:r>
        <w:rPr>
          <w:b w:val="0"/>
          <w:i w:val="0"/>
          <w:sz w:val="20"/>
        </w:rPr>
        <w:t>[TBC: email not found]</w:t>
      </w:r>
    </w:p>
    <w:p>
      <w:pPr>
        <w:spacing w:after="20"/>
      </w:pPr>
      <w:r>
        <w:rPr>
          <w:b/>
          <w:i w:val="0"/>
          <w:color w:val="C9A227"/>
          <w:sz w:val="20"/>
        </w:rPr>
        <w:t>REQUEST FOR QUOTATION</w:t>
      </w:r>
    </w:p>
    <w:p>
      <w:pPr>
        <w:spacing w:after="20"/>
      </w:pPr>
      <w:r>
        <w:rPr>
          <w:b/>
          <w:i w:val="0"/>
          <w:color w:val="000000"/>
          <w:sz w:val="30"/>
        </w:rPr>
        <w:t>Traffic impact assessment: 369 Shaw Road, Shaw QLD</w:t>
      </w:r>
    </w:p>
    <w:p>
      <w:pPr>
        <w:spacing w:after="160"/>
      </w:pPr>
      <w:r>
        <w:rPr>
          <w:b w:val="0"/>
          <w:i w:val="0"/>
          <w:color w:val="555555"/>
          <w:sz w:val="21"/>
        </w:rPr>
        <w:t>Development application support for an increased development footprint</w:t>
      </w:r>
    </w:p>
    <w:p>
      <w:r>
        <w:rPr>
          <w:b w:val="0"/>
          <w:i w:val="0"/>
        </w:rPr>
        <w:t>Dear Sir or Madam,</w:t>
      </w:r>
    </w:p>
    <w:p>
      <w:r>
        <w:rPr>
          <w:b w:val="0"/>
          <w:i w:val="0"/>
        </w:rPr>
        <w:t>JCE requests your quotation for a traffic impact assessment to support a development application at 369 Shaw Road, Shaw. JCE leads the civil engineering, flood studies and access concept, and would engage you as a sub-consultant.</w:t>
      </w:r>
    </w:p>
    <w:p>
      <w:pPr>
        <w:keepNext/>
        <w:spacing w:after="80" w:before="240"/>
        <w:pBdr>
          <w:bottom w:val="single" w:sz="4" w:space="1" w:color="000000"/>
        </w:pBdr>
      </w:pPr>
      <w:r>
        <w:rPr>
          <w:b/>
          <w:i w:val="0"/>
          <w:color w:val="C9A227"/>
          <w:sz w:val="25"/>
        </w:rPr>
        <w:t>1.0   SITE AND PROJECT</w:t>
      </w:r>
    </w:p>
    <w:p>
      <w:pPr>
        <w:pStyle w:val="ListBullet"/>
        <w:spacing w:after="40"/>
      </w:pPr>
      <w:r>
        <w:rPr>
          <w:b w:val="0"/>
          <w:i w:val="0"/>
        </w:rPr>
        <w:t>369 Shaw Road, Shaw QLD 4818 (Lot 16 on SP232874), 14.62 ha on the corner of Shaw Road and Dalrymple Road, next to the Townsville Ring Road interchange. Townsville City Council; State-controlled road frontage (SARA referral expected).</w:t>
      </w:r>
    </w:p>
    <w:p>
      <w:pPr>
        <w:pStyle w:val="ListBullet"/>
        <w:spacing w:after="40"/>
      </w:pPr>
      <w:r>
        <w:rPr>
          <w:b w:val="0"/>
          <w:i w:val="0"/>
        </w:rPr>
        <w:t>A tributary of the Bohle River crosses the site; Bohle River backwater affects it in major floods. Historic approval MI16/0016 (service station and warehouse, 27/11/2017) with access by an all movements intersection on Dalrymple Road West.</w:t>
      </w:r>
    </w:p>
    <w:p>
      <w:pPr>
        <w:pStyle w:val="ListBullet"/>
        <w:spacing w:after="40"/>
      </w:pPr>
      <w:r>
        <w:rPr>
          <w:b w:val="0"/>
          <w:i w:val="0"/>
        </w:rPr>
        <w:t>The client intends to complete further flood studies to support a development application for an increased development footprint, then proceed to approvals and operational works.</w:t>
      </w:r>
    </w:p>
    <w:p>
      <w:pPr>
        <w:keepNext/>
        <w:spacing w:after="80" w:before="240"/>
        <w:pBdr>
          <w:bottom w:val="single" w:sz="4" w:space="1" w:color="000000"/>
        </w:pBdr>
      </w:pPr>
      <w:r>
        <w:rPr>
          <w:b/>
          <w:i w:val="0"/>
          <w:color w:val="C9A227"/>
          <w:sz w:val="25"/>
        </w:rPr>
        <w:t>2.0   SCOPE REQUESTED</w:t>
      </w:r>
    </w:p>
    <w:p>
      <w:pPr>
        <w:tabs>
          <w:tab w:pos="510" w:val="left"/>
        </w:tabs>
        <w:spacing w:after="60"/>
        <w:ind w:left="510" w:hanging="510"/>
      </w:pPr>
      <w:r>
        <w:rPr>
          <w:b w:val="0"/>
          <w:i w:val="0"/>
        </w:rPr>
        <w:t>1.</w:t>
        <w:tab/>
        <w:t>Review of the 2016 combined traffic impact assessment (Lots 16 and 19), the 2015 count data and the 2017 access design report for the Dalrymple Road West intersection.</w:t>
      </w:r>
    </w:p>
    <w:p>
      <w:pPr>
        <w:tabs>
          <w:tab w:pos="510" w:val="left"/>
        </w:tabs>
        <w:spacing w:after="60"/>
        <w:ind w:left="510" w:hanging="510"/>
      </w:pPr>
      <w:r>
        <w:rPr>
          <w:b w:val="0"/>
          <w:i w:val="0"/>
        </w:rPr>
        <w:t>2.</w:t>
        <w:tab/>
        <w:t>Current traffic counts at the Dalrymple Road West access and the Shaw Road and Dalrymple Road intersection, and any further intersections you consider necessary (please state which and price them).</w:t>
      </w:r>
    </w:p>
    <w:p>
      <w:pPr>
        <w:tabs>
          <w:tab w:pos="510" w:val="left"/>
        </w:tabs>
        <w:spacing w:after="60"/>
        <w:ind w:left="510" w:hanging="510"/>
      </w:pPr>
      <w:r>
        <w:rPr>
          <w:b w:val="0"/>
          <w:i w:val="0"/>
        </w:rPr>
        <w:t>3.</w:t>
        <w:tab/>
        <w:t>Trip generation and distribution for the current use and GFA schedule (to be supplied by the client), including the adjoining 325 Shaw Road development.</w:t>
      </w:r>
    </w:p>
    <w:p>
      <w:pPr>
        <w:tabs>
          <w:tab w:pos="510" w:val="left"/>
        </w:tabs>
        <w:spacing w:after="60"/>
        <w:ind w:left="510" w:hanging="510"/>
      </w:pPr>
      <w:r>
        <w:rPr>
          <w:b w:val="0"/>
          <w:i w:val="0"/>
        </w:rPr>
        <w:t>4.</w:t>
        <w:tab/>
        <w:t>Intersection analysis for opening year and a ten-year horizon, with turn warrants and the treatment required at the access.</w:t>
      </w:r>
    </w:p>
    <w:p>
      <w:pPr>
        <w:tabs>
          <w:tab w:pos="510" w:val="left"/>
        </w:tabs>
        <w:spacing w:after="60"/>
        <w:ind w:left="510" w:hanging="510"/>
      </w:pPr>
      <w:r>
        <w:rPr>
          <w:b w:val="0"/>
          <w:i w:val="0"/>
        </w:rPr>
        <w:t>5.</w:t>
        <w:tab/>
        <w:t>Assessment against Townsville City Plan, SC6.4 and SDAP State code 1, and TMR's Guide to Traffic Impact Assessment where SARA requires it.</w:t>
      </w:r>
    </w:p>
    <w:p>
      <w:pPr>
        <w:tabs>
          <w:tab w:pos="510" w:val="left"/>
        </w:tabs>
        <w:spacing w:after="60"/>
        <w:ind w:left="510" w:hanging="510"/>
      </w:pPr>
      <w:r>
        <w:rPr>
          <w:b w:val="0"/>
          <w:i w:val="0"/>
        </w:rPr>
        <w:t>6.</w:t>
        <w:tab/>
        <w:t>Parking, service vehicle and refuse access review of JCE's concept layout and swept paths (19.0 m articulated vehicle and refuse vehicle).</w:t>
      </w:r>
    </w:p>
    <w:p>
      <w:pPr>
        <w:tabs>
          <w:tab w:pos="510" w:val="left"/>
        </w:tabs>
        <w:spacing w:after="60"/>
        <w:ind w:left="510" w:hanging="510"/>
      </w:pPr>
      <w:r>
        <w:rPr>
          <w:b w:val="0"/>
          <w:i w:val="0"/>
        </w:rPr>
        <w:t>7.</w:t>
        <w:tab/>
        <w:t>Report suitable for lodgement, RPEQ certified; one round of client comments.</w:t>
      </w:r>
    </w:p>
    <w:p>
      <w:pPr>
        <w:tabs>
          <w:tab w:pos="510" w:val="left"/>
        </w:tabs>
        <w:spacing w:after="60"/>
        <w:ind w:left="510" w:hanging="510"/>
      </w:pPr>
      <w:r>
        <w:rPr>
          <w:b w:val="0"/>
          <w:i w:val="0"/>
        </w:rPr>
        <w:t>8.</w:t>
        <w:tab/>
        <w:t>Rates and an indicative allowance for Council or SARA information requests. Please price a road safety audit of the access concept as a separate option.</w:t>
      </w:r>
    </w:p>
    <w:p>
      <w:pPr>
        <w:tabs>
          <w:tab w:pos="510" w:val="left"/>
        </w:tabs>
        <w:spacing w:after="60"/>
        <w:ind w:left="510" w:hanging="510"/>
      </w:pPr>
      <w:r>
        <w:rPr>
          <w:b w:val="0"/>
          <w:i w:val="0"/>
        </w:rPr>
        <w:t>9.</w:t>
        <w:tab/>
        <w:t>Optional, operational works stage: a traffic design report or review of JCE's intersection design.</w:t>
      </w:r>
    </w:p>
    <w:p>
      <w:pPr>
        <w:keepNext/>
        <w:spacing w:after="80" w:before="240"/>
        <w:pBdr>
          <w:bottom w:val="single" w:sz="4" w:space="1" w:color="000000"/>
        </w:pBdr>
      </w:pPr>
      <w:r>
        <w:rPr>
          <w:b/>
          <w:i w:val="0"/>
          <w:color w:val="C9A227"/>
          <w:sz w:val="25"/>
        </w:rPr>
        <w:t>3.0   PROGRAM</w:t>
      </w:r>
    </w:p>
    <w:p>
      <w:r>
        <w:rPr>
          <w:b w:val="0"/>
          <w:i w:val="0"/>
        </w:rPr>
        <w:t>Engagement is expected after the client accepts JCE's proposal. Target: draft report by week 10 and final by week 12 from engagement, after the footprint and use schedule are confirmed at week 8.</w:t>
      </w:r>
    </w:p>
    <w:p>
      <w:pPr>
        <w:keepNext/>
        <w:spacing w:after="80" w:before="240"/>
        <w:pBdr>
          <w:bottom w:val="single" w:sz="4" w:space="1" w:color="000000"/>
        </w:pBdr>
      </w:pPr>
      <w:r>
        <w:rPr>
          <w:b/>
          <w:i w:val="0"/>
          <w:color w:val="C9A227"/>
          <w:sz w:val="25"/>
        </w:rPr>
        <w:t>4.0   COMMERCIAL BASIS</w:t>
      </w:r>
    </w:p>
    <w:p>
      <w:pPr>
        <w:pStyle w:val="ListBullet"/>
        <w:spacing w:after="40"/>
      </w:pPr>
      <w:r>
        <w:rPr>
          <w:b w:val="0"/>
          <w:i w:val="0"/>
        </w:rPr>
        <w:t>Engagement is by JCE as a sub-consultant, subject to the client accepting JCE's proposal. JCE passes your fee through to the client as a provisional sum.</w:t>
      </w:r>
    </w:p>
    <w:p>
      <w:pPr>
        <w:pStyle w:val="ListBullet"/>
        <w:spacing w:after="40"/>
      </w:pPr>
      <w:r>
        <w:rPr>
          <w:b w:val="0"/>
          <w:i w:val="0"/>
        </w:rPr>
        <w:t>Please price as a lump sum by task (excl. GST), with your hourly rates for variations and your assumptions and exclusions.</w:t>
      </w:r>
    </w:p>
    <w:p>
      <w:pPr>
        <w:pStyle w:val="ListBullet"/>
        <w:spacing w:after="40"/>
      </w:pPr>
      <w:r>
        <w:rPr>
          <w:b w:val="0"/>
          <w:i w:val="0"/>
        </w:rPr>
        <w:t>Please confirm professional indemnity and public liability insurance levels, and the RPEQ who will carry out or directly supervise the work and certify it.</w:t>
      </w:r>
    </w:p>
    <w:p>
      <w:pPr>
        <w:pStyle w:val="ListBullet"/>
        <w:spacing w:after="40"/>
      </w:pPr>
      <w:r>
        <w:rPr>
          <w:b w:val="0"/>
          <w:i w:val="0"/>
        </w:rPr>
        <w:t>Please tell us of any conflict of interest, including any current engagement on the adjoining land at 325 Shaw Road (Lot 19).</w:t>
      </w:r>
    </w:p>
    <w:p>
      <w:pPr>
        <w:pStyle w:val="ListBullet"/>
        <w:spacing w:after="40"/>
      </w:pPr>
      <w:r>
        <w:rPr>
          <w:b w:val="0"/>
          <w:i w:val="0"/>
        </w:rPr>
        <w:t>Information in this request is confidential and supplied only for preparing your quotation.</w:t>
      </w:r>
    </w:p>
    <w:p>
      <w:pPr>
        <w:pStyle w:val="ListBullet"/>
        <w:spacing w:after="40"/>
      </w:pPr>
      <w:r>
        <w:rPr>
          <w:b w:val="0"/>
          <w:i w:val="0"/>
        </w:rPr>
        <w:t>Quotation due: 5:00 pm AEST Monday 19/10/2026, by email to jayden@jceinfrastructure.com.au. Questions to Jayden on 0477 207 027.</w:t>
      </w:r>
    </w:p>
    <w:p>
      <w:pPr>
        <w:keepNext/>
        <w:spacing w:before="120"/>
      </w:pPr>
      <w:r>
        <w:rPr>
          <w:b w:val="0"/>
          <w:i w:val="0"/>
        </w:rPr>
        <w:t>Yours faithfully,</w:t>
      </w:r>
    </w:p>
    <w:p>
      <w:pPr>
        <w:keepNext/>
      </w:pPr>
      <w:r>
        <w:rPr>
          <w:b w:val="0"/>
          <w:i/>
          <w:color w:val="555555"/>
        </w:rPr>
        <w:t>[Signature: Jayden to insert]</w:t>
      </w:r>
    </w:p>
    <w:p>
      <w:pPr>
        <w:keepNext/>
        <w:spacing w:after="0"/>
      </w:pPr>
      <w:r>
        <w:rPr>
          <w:b/>
          <w:i w:val="0"/>
        </w:rPr>
        <w:t>Jayden Callen</w:t>
      </w:r>
    </w:p>
    <w:p>
      <w:pPr>
        <w:keepNext/>
        <w:spacing w:after="0"/>
      </w:pPr>
      <w:r>
        <w:rPr>
          <w:b w:val="0"/>
          <w:i w:val="0"/>
        </w:rPr>
        <w:t>Director, JCE Infrastructure Pty Ltd</w:t>
      </w:r>
    </w:p>
    <w:p>
      <w:r>
        <w:rPr>
          <w:b w:val="0"/>
          <w:i w:val="0"/>
        </w:rPr>
        <w:t>0477 207 027   |   jayden@jceinfrastructure.com.au</w:t>
      </w:r>
    </w:p>
    <w:sectPr w:rsidR="00FC693F" w:rsidRPr="0006063C" w:rsidSect="00034616">
      <w:footerReference w:type="default" r:id="rId9"/>
      <w:pgSz w:w="11906" w:h="16838"/>
      <w:pgMar w:top="85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6"/>
      </w:rPr>
      <w:t xml:space="preserve">JCE RFQ-FP011-02 Rev B   |   369 Shaw Road, Shaw: traffic impact assessment   |   12/10/2026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