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PART B1 TENDER RETURN FORMS (FILLED)</w:t>
      </w:r>
    </w:p>
    <w:p>
      <w:r>
        <w:rPr>
          <w:b/>
          <w:sz w:val="21"/>
        </w:rPr>
        <w:t>Contract No. CT2027005   ·   GWMC CQA Engineer for New Waste Cell &amp; Monocell</w:t>
      </w:r>
    </w:p>
    <w:p>
      <w:r>
        <w:rPr>
          <w:i/>
          <w:sz w:val="17"/>
        </w:rPr>
        <w:t>Rebuilt from the text of Council's Part B1 with JCE's answers in form order. Jayden: either lodge this file with Council's original, or paste each answer into Council's Word form (02_Submission/Part_B1_..._JCE_DRAFT.docx). Items marked [TBC - Jayden] must be completed before lodgement.</w:t>
      </w:r>
    </w:p>
    <w:p>
      <w:pPr>
        <w:pStyle w:val="Heading1"/>
        <w:pBdr>
          <w:bottom w:val="single" w:sz="6" w:space="1" w:color="C9A227"/>
        </w:pBdr>
      </w:pPr>
      <w:r>
        <w:t>Information to be supplied with Tender (checklist)</w:t>
      </w:r>
    </w:p>
    <w:p>
      <w:r>
        <w:rPr>
          <w:i w:val="0"/>
        </w:rPr>
        <w:t>TENDERER'S NAME: JCE Infrastructure Pty Ltd</w:t>
      </w:r>
    </w:p>
    <w:tbl>
      <w:tblPr>
        <w:tblStyle w:val="TableGrid"/>
        <w:tblW w:type="dxa" w:w="9639"/>
        <w:jc w:val="center"/>
        <w:tblLayout w:type="fixed"/>
        <w:tblLook w:firstColumn="1" w:firstRow="1" w:lastColumn="0" w:lastRow="0" w:noHBand="0" w:noVBand="1" w:val="04A0"/>
        <w:tblLayout w:type="fixed"/>
      </w:tblPr>
      <w:tblGrid>
        <w:gridCol w:w="7371"/>
        <w:gridCol w:w="2268"/>
      </w:tblGrid>
      <w:tr>
        <w:trPr>
          <w:tblHeader/>
          <w:cantSplit/>
        </w:trPr>
        <w:tc>
          <w:tcPr>
            <w:tcW w:type="dxa" w:w="7370"/>
            <w:shd w:val="clear" w:color="auto" w:fill="C9A227"/>
          </w:tcPr>
          <w:p>
            <w:r/>
            <w:r>
              <w:rPr>
                <w:b/>
                <w:color w:val="000000"/>
                <w:sz w:val="18"/>
              </w:rPr>
              <w:t>Form</w:t>
            </w:r>
          </w:p>
        </w:tc>
        <w:tc>
          <w:tcPr>
            <w:tcW w:type="dxa" w:w="2268"/>
            <w:shd w:val="clear" w:color="auto" w:fill="C9A227"/>
          </w:tcPr>
          <w:p>
            <w:r/>
            <w:r>
              <w:rPr>
                <w:b/>
                <w:color w:val="000000"/>
                <w:sz w:val="18"/>
              </w:rPr>
              <w:t>Supplied</w:t>
            </w:r>
          </w:p>
        </w:tc>
      </w:tr>
      <w:tr>
        <w:trPr>
          <w:cantSplit/>
        </w:trPr>
        <w:tc>
          <w:tcPr>
            <w:tcW w:type="dxa" w:w="7370"/>
          </w:tcPr>
          <w:p>
            <w:pPr>
              <w:spacing w:after="20"/>
            </w:pPr>
            <w:r/>
            <w:r>
              <w:rPr>
                <w:sz w:val="18"/>
              </w:rPr>
              <w:t>Form 1 Tender Form</w:t>
            </w:r>
          </w:p>
        </w:tc>
        <w:tc>
          <w:tcPr>
            <w:tcW w:type="dxa" w:w="2268"/>
          </w:tcPr>
          <w:p>
            <w:pPr>
              <w:spacing w:after="20"/>
            </w:pPr>
            <w:r/>
            <w:r>
              <w:rPr>
                <w:sz w:val="18"/>
              </w:rPr>
              <w:t>Yes</w:t>
            </w:r>
          </w:p>
        </w:tc>
      </w:tr>
      <w:tr>
        <w:trPr>
          <w:cantSplit/>
        </w:trPr>
        <w:tc>
          <w:tcPr>
            <w:tcW w:type="dxa" w:w="7370"/>
          </w:tcPr>
          <w:p>
            <w:pPr>
              <w:spacing w:after="20"/>
            </w:pPr>
            <w:r/>
            <w:r>
              <w:rPr>
                <w:sz w:val="18"/>
              </w:rPr>
              <w:t>Form 2: Pricing Schedule (Part B2 Excel)</w:t>
            </w:r>
          </w:p>
        </w:tc>
        <w:tc>
          <w:tcPr>
            <w:tcW w:type="dxa" w:w="2268"/>
          </w:tcPr>
          <w:p>
            <w:pPr>
              <w:spacing w:after="20"/>
            </w:pPr>
            <w:r/>
            <w:r>
              <w:rPr>
                <w:sz w:val="18"/>
              </w:rPr>
              <w:t>Yes</w:t>
            </w:r>
          </w:p>
        </w:tc>
      </w:tr>
      <w:tr>
        <w:trPr>
          <w:cantSplit/>
        </w:trPr>
        <w:tc>
          <w:tcPr>
            <w:tcW w:type="dxa" w:w="7370"/>
          </w:tcPr>
          <w:p>
            <w:pPr>
              <w:spacing w:after="20"/>
            </w:pPr>
            <w:r/>
            <w:r>
              <w:rPr>
                <w:sz w:val="18"/>
              </w:rPr>
              <w:t>Form 3: Tenderer's Experience</w:t>
            </w:r>
          </w:p>
        </w:tc>
        <w:tc>
          <w:tcPr>
            <w:tcW w:type="dxa" w:w="2268"/>
          </w:tcPr>
          <w:p>
            <w:pPr>
              <w:spacing w:after="20"/>
            </w:pPr>
            <w:r/>
            <w:r>
              <w:rPr>
                <w:sz w:val="18"/>
              </w:rPr>
              <w:t>Yes</w:t>
            </w:r>
          </w:p>
        </w:tc>
      </w:tr>
      <w:tr>
        <w:trPr>
          <w:cantSplit/>
        </w:trPr>
        <w:tc>
          <w:tcPr>
            <w:tcW w:type="dxa" w:w="7370"/>
          </w:tcPr>
          <w:p>
            <w:pPr>
              <w:spacing w:after="20"/>
            </w:pPr>
            <w:r/>
            <w:r>
              <w:rPr>
                <w:sz w:val="18"/>
              </w:rPr>
              <w:t>Form 4: Technical Data</w:t>
            </w:r>
          </w:p>
        </w:tc>
        <w:tc>
          <w:tcPr>
            <w:tcW w:type="dxa" w:w="2268"/>
          </w:tcPr>
          <w:p>
            <w:pPr>
              <w:spacing w:after="20"/>
            </w:pPr>
            <w:r/>
            <w:r>
              <w:rPr>
                <w:sz w:val="18"/>
              </w:rPr>
              <w:t>Yes</w:t>
            </w:r>
          </w:p>
        </w:tc>
      </w:tr>
      <w:tr>
        <w:trPr>
          <w:cantSplit/>
        </w:trPr>
        <w:tc>
          <w:tcPr>
            <w:tcW w:type="dxa" w:w="7370"/>
          </w:tcPr>
          <w:p>
            <w:pPr>
              <w:spacing w:after="20"/>
            </w:pPr>
            <w:r/>
            <w:r>
              <w:rPr>
                <w:sz w:val="18"/>
              </w:rPr>
              <w:t>Form 5: Quality Systems</w:t>
            </w:r>
          </w:p>
        </w:tc>
        <w:tc>
          <w:tcPr>
            <w:tcW w:type="dxa" w:w="2268"/>
          </w:tcPr>
          <w:p>
            <w:pPr>
              <w:spacing w:after="20"/>
            </w:pPr>
            <w:r/>
            <w:r>
              <w:rPr>
                <w:sz w:val="18"/>
              </w:rPr>
              <w:t>Yes</w:t>
            </w:r>
          </w:p>
        </w:tc>
      </w:tr>
      <w:tr>
        <w:trPr>
          <w:cantSplit/>
        </w:trPr>
        <w:tc>
          <w:tcPr>
            <w:tcW w:type="dxa" w:w="7370"/>
          </w:tcPr>
          <w:p>
            <w:pPr>
              <w:spacing w:after="20"/>
            </w:pPr>
            <w:r/>
            <w:r>
              <w:rPr>
                <w:sz w:val="18"/>
              </w:rPr>
              <w:t>Form 6: Schedule of Subcontractors</w:t>
            </w:r>
          </w:p>
        </w:tc>
        <w:tc>
          <w:tcPr>
            <w:tcW w:type="dxa" w:w="2268"/>
          </w:tcPr>
          <w:p>
            <w:pPr>
              <w:spacing w:after="20"/>
            </w:pPr>
            <w:r/>
            <w:r>
              <w:rPr>
                <w:sz w:val="18"/>
              </w:rPr>
              <w:t>Yes</w:t>
            </w:r>
          </w:p>
        </w:tc>
      </w:tr>
      <w:tr>
        <w:trPr>
          <w:cantSplit/>
        </w:trPr>
        <w:tc>
          <w:tcPr>
            <w:tcW w:type="dxa" w:w="7370"/>
          </w:tcPr>
          <w:p>
            <w:pPr>
              <w:spacing w:after="20"/>
            </w:pPr>
            <w:r/>
            <w:r>
              <w:rPr>
                <w:sz w:val="18"/>
              </w:rPr>
              <w:t>Form 7: Key Employee Details</w:t>
            </w:r>
          </w:p>
        </w:tc>
        <w:tc>
          <w:tcPr>
            <w:tcW w:type="dxa" w:w="2268"/>
          </w:tcPr>
          <w:p>
            <w:pPr>
              <w:spacing w:after="20"/>
            </w:pPr>
            <w:r/>
            <w:r>
              <w:rPr>
                <w:sz w:val="18"/>
              </w:rPr>
              <w:t>Yes</w:t>
            </w:r>
          </w:p>
        </w:tc>
      </w:tr>
      <w:tr>
        <w:trPr>
          <w:cantSplit/>
        </w:trPr>
        <w:tc>
          <w:tcPr>
            <w:tcW w:type="dxa" w:w="7370"/>
          </w:tcPr>
          <w:p>
            <w:pPr>
              <w:spacing w:after="20"/>
            </w:pPr>
            <w:r/>
            <w:r>
              <w:rPr>
                <w:sz w:val="18"/>
              </w:rPr>
              <w:t>Form 8: Regional Preference</w:t>
            </w:r>
          </w:p>
        </w:tc>
        <w:tc>
          <w:tcPr>
            <w:tcW w:type="dxa" w:w="2268"/>
          </w:tcPr>
          <w:p>
            <w:pPr>
              <w:spacing w:after="20"/>
            </w:pPr>
            <w:r/>
            <w:r>
              <w:rPr>
                <w:sz w:val="18"/>
              </w:rPr>
              <w:t>Yes</w:t>
            </w:r>
          </w:p>
        </w:tc>
      </w:tr>
      <w:tr>
        <w:trPr>
          <w:cantSplit/>
        </w:trPr>
        <w:tc>
          <w:tcPr>
            <w:tcW w:type="dxa" w:w="7370"/>
          </w:tcPr>
          <w:p>
            <w:pPr>
              <w:spacing w:after="20"/>
            </w:pPr>
            <w:r/>
            <w:r>
              <w:rPr>
                <w:sz w:val="18"/>
              </w:rPr>
              <w:t>Form 9: Statement of Departures</w:t>
            </w:r>
          </w:p>
        </w:tc>
        <w:tc>
          <w:tcPr>
            <w:tcW w:type="dxa" w:w="2268"/>
          </w:tcPr>
          <w:p>
            <w:pPr>
              <w:spacing w:after="20"/>
            </w:pPr>
            <w:r/>
            <w:r>
              <w:rPr>
                <w:sz w:val="18"/>
              </w:rPr>
              <w:t>Yes</w:t>
            </w:r>
          </w:p>
        </w:tc>
      </w:tr>
      <w:tr>
        <w:trPr>
          <w:cantSplit/>
        </w:trPr>
        <w:tc>
          <w:tcPr>
            <w:tcW w:type="dxa" w:w="7370"/>
          </w:tcPr>
          <w:p>
            <w:pPr>
              <w:spacing w:after="20"/>
            </w:pPr>
            <w:r/>
            <w:r>
              <w:rPr>
                <w:sz w:val="18"/>
              </w:rPr>
              <w:t>Form 10: WH&amp;S Management System Questionnaire</w:t>
            </w:r>
          </w:p>
        </w:tc>
        <w:tc>
          <w:tcPr>
            <w:tcW w:type="dxa" w:w="2268"/>
          </w:tcPr>
          <w:p>
            <w:pPr>
              <w:spacing w:after="20"/>
            </w:pPr>
            <w:r/>
            <w:r>
              <w:rPr>
                <w:sz w:val="18"/>
              </w:rPr>
              <w:t>Yes</w:t>
            </w:r>
          </w:p>
        </w:tc>
      </w:tr>
      <w:tr>
        <w:trPr>
          <w:cantSplit/>
        </w:trPr>
        <w:tc>
          <w:tcPr>
            <w:tcW w:type="dxa" w:w="7370"/>
          </w:tcPr>
          <w:p>
            <w:pPr>
              <w:spacing w:after="20"/>
            </w:pPr>
            <w:r/>
            <w:r>
              <w:rPr>
                <w:sz w:val="18"/>
              </w:rPr>
              <w:t>Form 11: Modern Slavery Questionnaire</w:t>
            </w:r>
          </w:p>
        </w:tc>
        <w:tc>
          <w:tcPr>
            <w:tcW w:type="dxa" w:w="2268"/>
          </w:tcPr>
          <w:p>
            <w:pPr>
              <w:spacing w:after="20"/>
            </w:pPr>
            <w:r/>
            <w:r>
              <w:rPr>
                <w:sz w:val="18"/>
              </w:rPr>
              <w:t>Yes</w:t>
            </w:r>
          </w:p>
        </w:tc>
      </w:tr>
    </w:tbl>
    <w:p>
      <w:pPr>
        <w:spacing w:after="40"/>
      </w:pPr>
    </w:p>
    <w:p>
      <w:r>
        <w:rPr>
          <w:i w:val="0"/>
        </w:rPr>
        <w:t>Addenda received: None as at 12/10/2026 [TBC - Jayden: check VendorPanel before lodgement].</w:t>
      </w:r>
    </w:p>
    <w:p>
      <w:pPr>
        <w:pStyle w:val="Heading1"/>
        <w:pBdr>
          <w:bottom w:val="single" w:sz="6" w:space="1" w:color="C9A227"/>
        </w:pBdr>
      </w:pPr>
      <w:r>
        <w:t>Form 1: Tender Form</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Lump sum (incl. GST)</w:t>
            </w:r>
          </w:p>
        </w:tc>
        <w:tc>
          <w:tcPr>
            <w:tcW w:type="dxa" w:w="7257"/>
          </w:tcPr>
          <w:p>
            <w:r/>
            <w:r>
              <w:rPr>
                <w:sz w:val="18"/>
              </w:rPr>
              <w:t>$772,216.28: seven hundred and seventy-two thousand, two hundred and sixteen dollars and twenty-eight cents (including GST of $70,201.48; $702,014.80 excl. GST). [TBC - Jayden: update if partner quotes change the provisional sums; must equal the B2 TOTAL (INCL GST).]</w:t>
            </w:r>
          </w:p>
        </w:tc>
      </w:tr>
      <w:tr>
        <w:trPr>
          <w:cantSplit/>
        </w:trPr>
        <w:tc>
          <w:tcPr>
            <w:tcW w:type="dxa" w:w="2381"/>
            <w:shd w:val="clear" w:color="auto" w:fill="F3EBCF"/>
          </w:tcPr>
          <w:p>
            <w:r/>
            <w:r>
              <w:rPr>
                <w:b/>
                <w:sz w:val="18"/>
              </w:rPr>
              <w:t>Dated</w:t>
            </w:r>
          </w:p>
        </w:tc>
        <w:tc>
          <w:tcPr>
            <w:tcW w:type="dxa" w:w="7257"/>
          </w:tcPr>
          <w:p>
            <w:r/>
            <w:r>
              <w:rPr>
                <w:sz w:val="18"/>
              </w:rPr>
              <w:t>____ day of October 2026 [Jayden to date at signing]</w:t>
            </w:r>
          </w:p>
        </w:tc>
      </w:tr>
      <w:tr>
        <w:trPr>
          <w:cantSplit/>
        </w:trPr>
        <w:tc>
          <w:tcPr>
            <w:tcW w:type="dxa" w:w="2381"/>
            <w:shd w:val="clear" w:color="auto" w:fill="F3EBCF"/>
          </w:tcPr>
          <w:p>
            <w:r/>
            <w:r>
              <w:rPr>
                <w:b/>
                <w:sz w:val="18"/>
              </w:rPr>
              <w:t>Company name</w:t>
            </w:r>
          </w:p>
        </w:tc>
        <w:tc>
          <w:tcPr>
            <w:tcW w:type="dxa" w:w="7257"/>
          </w:tcPr>
          <w:p>
            <w:r/>
            <w:r>
              <w:rPr>
                <w:sz w:val="18"/>
              </w:rPr>
              <w:t>JCE Infrastructure Pty Ltd</w:t>
            </w:r>
          </w:p>
        </w:tc>
      </w:tr>
      <w:tr>
        <w:trPr>
          <w:cantSplit/>
        </w:trPr>
        <w:tc>
          <w:tcPr>
            <w:tcW w:type="dxa" w:w="2381"/>
            <w:shd w:val="clear" w:color="auto" w:fill="F3EBCF"/>
          </w:tcPr>
          <w:p>
            <w:r/>
            <w:r>
              <w:rPr>
                <w:b/>
                <w:sz w:val="18"/>
              </w:rPr>
              <w:t>Entity type</w:t>
            </w:r>
          </w:p>
        </w:tc>
        <w:tc>
          <w:tcPr>
            <w:tcW w:type="dxa" w:w="7257"/>
          </w:tcPr>
          <w:p>
            <w:r/>
            <w:r>
              <w:rPr>
                <w:sz w:val="18"/>
              </w:rPr>
              <w:t>Proprietary limited company</w:t>
            </w:r>
          </w:p>
        </w:tc>
      </w:tr>
      <w:tr>
        <w:trPr>
          <w:cantSplit/>
        </w:trPr>
        <w:tc>
          <w:tcPr>
            <w:tcW w:type="dxa" w:w="2381"/>
            <w:shd w:val="clear" w:color="auto" w:fill="F3EBCF"/>
          </w:tcPr>
          <w:p>
            <w:r/>
            <w:r>
              <w:rPr>
                <w:b/>
                <w:sz w:val="18"/>
              </w:rPr>
              <w:t>ABN</w:t>
            </w:r>
          </w:p>
        </w:tc>
        <w:tc>
          <w:tcPr>
            <w:tcW w:type="dxa" w:w="7257"/>
          </w:tcPr>
          <w:p>
            <w:r/>
            <w:r>
              <w:rPr>
                <w:sz w:val="18"/>
              </w:rPr>
              <w:t>29 699 165 663</w:t>
            </w:r>
          </w:p>
        </w:tc>
      </w:tr>
      <w:tr>
        <w:trPr>
          <w:cantSplit/>
        </w:trPr>
        <w:tc>
          <w:tcPr>
            <w:tcW w:type="dxa" w:w="2381"/>
            <w:shd w:val="clear" w:color="auto" w:fill="F3EBCF"/>
          </w:tcPr>
          <w:p>
            <w:r/>
            <w:r>
              <w:rPr>
                <w:b/>
                <w:sz w:val="18"/>
              </w:rPr>
              <w:t>Mailing address</w:t>
            </w:r>
          </w:p>
        </w:tc>
        <w:tc>
          <w:tcPr>
            <w:tcW w:type="dxa" w:w="7257"/>
          </w:tcPr>
          <w:p>
            <w:r/>
            <w:r>
              <w:rPr>
                <w:sz w:val="18"/>
              </w:rPr>
              <w:t>756 Quia Road, Gunnedah NSW 2380</w:t>
            </w:r>
          </w:p>
        </w:tc>
      </w:tr>
      <w:tr>
        <w:trPr>
          <w:cantSplit/>
        </w:trPr>
        <w:tc>
          <w:tcPr>
            <w:tcW w:type="dxa" w:w="2381"/>
            <w:shd w:val="clear" w:color="auto" w:fill="F3EBCF"/>
          </w:tcPr>
          <w:p>
            <w:r/>
            <w:r>
              <w:rPr>
                <w:b/>
                <w:sz w:val="18"/>
              </w:rPr>
              <w:t>Phone</w:t>
            </w:r>
          </w:p>
        </w:tc>
        <w:tc>
          <w:tcPr>
            <w:tcW w:type="dxa" w:w="7257"/>
          </w:tcPr>
          <w:p>
            <w:r/>
            <w:r>
              <w:rPr>
                <w:sz w:val="18"/>
              </w:rPr>
              <w:t>0477 207 027</w:t>
            </w:r>
          </w:p>
        </w:tc>
      </w:tr>
      <w:tr>
        <w:trPr>
          <w:cantSplit/>
        </w:trPr>
        <w:tc>
          <w:tcPr>
            <w:tcW w:type="dxa" w:w="2381"/>
            <w:shd w:val="clear" w:color="auto" w:fill="F3EBCF"/>
          </w:tcPr>
          <w:p>
            <w:r/>
            <w:r>
              <w:rPr>
                <w:b/>
                <w:sz w:val="18"/>
              </w:rPr>
              <w:t>Email</w:t>
            </w:r>
          </w:p>
        </w:tc>
        <w:tc>
          <w:tcPr>
            <w:tcW w:type="dxa" w:w="7257"/>
          </w:tcPr>
          <w:p>
            <w:r/>
            <w:r>
              <w:rPr>
                <w:sz w:val="18"/>
              </w:rPr>
              <w:t>jayden@jceinfrastructure.com.au</w:t>
            </w:r>
          </w:p>
        </w:tc>
      </w:tr>
      <w:tr>
        <w:trPr>
          <w:cantSplit/>
        </w:trPr>
        <w:tc>
          <w:tcPr>
            <w:tcW w:type="dxa" w:w="2381"/>
            <w:shd w:val="clear" w:color="auto" w:fill="F3EBCF"/>
          </w:tcPr>
          <w:p>
            <w:r/>
            <w:r>
              <w:rPr>
                <w:b/>
                <w:sz w:val="18"/>
              </w:rPr>
              <w:t>Signature</w:t>
            </w:r>
          </w:p>
        </w:tc>
        <w:tc>
          <w:tcPr>
            <w:tcW w:type="dxa" w:w="7257"/>
          </w:tcPr>
          <w:p>
            <w:r/>
            <w:r>
              <w:rPr>
                <w:sz w:val="18"/>
              </w:rPr>
              <w:t>[signature - Jayden]</w:t>
            </w:r>
          </w:p>
        </w:tc>
      </w:tr>
      <w:tr>
        <w:trPr>
          <w:cantSplit/>
        </w:trPr>
        <w:tc>
          <w:tcPr>
            <w:tcW w:type="dxa" w:w="2381"/>
            <w:shd w:val="clear" w:color="auto" w:fill="F3EBCF"/>
          </w:tcPr>
          <w:p>
            <w:r/>
            <w:r>
              <w:rPr>
                <w:b/>
                <w:sz w:val="18"/>
              </w:rPr>
              <w:t>Print name</w:t>
            </w:r>
          </w:p>
        </w:tc>
        <w:tc>
          <w:tcPr>
            <w:tcW w:type="dxa" w:w="7257"/>
          </w:tcPr>
          <w:p>
            <w:r/>
            <w:r>
              <w:rPr>
                <w:sz w:val="18"/>
              </w:rPr>
              <w:t>Jayden Callen, Director</w:t>
            </w:r>
          </w:p>
        </w:tc>
      </w:tr>
      <w:tr>
        <w:trPr>
          <w:cantSplit/>
        </w:trPr>
        <w:tc>
          <w:tcPr>
            <w:tcW w:type="dxa" w:w="2381"/>
            <w:shd w:val="clear" w:color="auto" w:fill="F3EBCF"/>
          </w:tcPr>
          <w:p>
            <w:r/>
            <w:r>
              <w:rPr>
                <w:b/>
                <w:sz w:val="18"/>
              </w:rPr>
              <w:t>Witness</w:t>
            </w:r>
          </w:p>
        </w:tc>
        <w:tc>
          <w:tcPr>
            <w:tcW w:type="dxa" w:w="7257"/>
          </w:tcPr>
          <w:p>
            <w:r/>
            <w:r>
              <w:rPr>
                <w:sz w:val="18"/>
              </w:rPr>
              <w:t>[witness signature and name - Jayden]</w:t>
            </w:r>
          </w:p>
        </w:tc>
      </w:tr>
      <w:tr>
        <w:trPr>
          <w:cantSplit/>
        </w:trPr>
        <w:tc>
          <w:tcPr>
            <w:tcW w:type="dxa" w:w="2381"/>
            <w:shd w:val="clear" w:color="auto" w:fill="F3EBCF"/>
          </w:tcPr>
          <w:p>
            <w:r/>
            <w:r>
              <w:rPr>
                <w:b/>
                <w:sz w:val="18"/>
              </w:rPr>
              <w:t>Conflicts of interest</w:t>
            </w:r>
          </w:p>
        </w:tc>
        <w:tc>
          <w:tcPr>
            <w:tcW w:type="dxa" w:w="7257"/>
          </w:tcPr>
          <w:p>
            <w:r/>
            <w:r>
              <w:rPr>
                <w:sz w:val="18"/>
              </w:rPr>
              <w:t>No. JCE has no interest, relationship or client that gives rise to a conflict with this contract, the construction contract (CT2027004) or the designer (Tonkin Consulting). Proposed sub-consultants will each give a written independence declaration before Council's consent under Part A 6.4.</w:t>
            </w:r>
          </w:p>
        </w:tc>
      </w:tr>
    </w:tbl>
    <w:p>
      <w:pPr>
        <w:spacing w:after="40"/>
      </w:pPr>
    </w:p>
    <w:p>
      <w:pPr>
        <w:pStyle w:val="Heading1"/>
        <w:pBdr>
          <w:bottom w:val="single" w:sz="6" w:space="1" w:color="C9A227"/>
        </w:pBdr>
      </w:pPr>
      <w:r>
        <w:t>Form 2: Pricing Schedule</w:t>
      </w:r>
    </w:p>
    <w:p>
      <w:r>
        <w:rPr>
          <w:i w:val="0"/>
        </w:rPr>
        <w:t>Returned as Excel: Part_B2-Returnable_Schedules-CQA_Engineer_JCE_FILLED.xlsx. Portion 1 $453,246.80; Portion 2 $248,768.00; total $702,014.80 excl. GST.</w:t>
      </w:r>
    </w:p>
    <w:p>
      <w:pPr>
        <w:pStyle w:val="Heading1"/>
        <w:pBdr>
          <w:bottom w:val="single" w:sz="6" w:space="1" w:color="C9A227"/>
        </w:pBdr>
      </w:pPr>
      <w:r>
        <w:t>Form 3: Tenderer's Experience</w:t>
      </w:r>
    </w:p>
    <w:p>
      <w:r>
        <w:rPr>
          <w:i w:val="0"/>
        </w:rPr>
        <w:t>Current contracts:</w:t>
      </w:r>
    </w:p>
    <w:p>
      <w:pPr>
        <w:pStyle w:val="ListBullet"/>
      </w:pPr>
      <w:r>
        <w:t>Western Sydney International Airport Business Precinct Stage One (sub-consultant to Underscore Projects; client AT&amp;L): SRM-01 sewer rising main design program and technical review of the D&amp;C contractor's sewage pumping station package (review register SPS-REG-001, 59 items at Revision F, four hold points). Value and duration [TBC - Jayden].</w:t>
      </w:r>
    </w:p>
    <w:p>
      <w:pPr>
        <w:pStyle w:val="ListBullet"/>
      </w:pPr>
      <w:r>
        <w:t>Relocatable dwelling footing design service for Uniplan Group (ongoing). Value [TBC - Jayden].</w:t>
      </w:r>
    </w:p>
    <w:p>
      <w:r>
        <w:rPr>
          <w:i w:val="0"/>
        </w:rPr>
        <w:t>Contracts of a similar nature:</w:t>
      </w:r>
    </w:p>
    <w:p>
      <w:pPr>
        <w:pStyle w:val="ListBullet"/>
      </w:pPr>
      <w:r>
        <w:t>JCE has not previously been engaged as CQA Engineer on a landfill cell liner. The landfill CQA experience offered is that of JCE's proposed major sub-consultant, [Riverina CQA partner, TBC - Jayden from RFQ]: [insert at least two landfill cell or cap CQA projects: site, EPL, liner system, role, year, value, referee - from RFQ response].</w:t>
      </w:r>
    </w:p>
    <w:p>
      <w:r>
        <w:rPr>
          <w:i w:val="0"/>
        </w:rPr>
        <w:t xml:space="preserve">Key personnel experience (Jayden Callen's work with previous employers, listed in Form 7, not JCE contracts): Ravenshoe leachate storage facility design modification (2025) and floodway rectification for Tablelands Regional Council (QLD) while at Langtree Consulting; RAAF Base Townsville Defence delivery for CPB Contractors (head contractor).</w:t>
      </w:r>
    </w:p>
    <w:p>
      <w:r>
        <w:rPr>
          <w:i w:val="0"/>
        </w:rPr>
        <w:t>Referees (non-WWCC; referees 1 and 2 are for Jayden Callen's work with previous employers):</w:t>
      </w:r>
    </w:p>
    <w:tbl>
      <w:tblPr>
        <w:tblStyle w:val="TableGrid"/>
        <w:tblW w:type="dxa" w:w="9639"/>
        <w:jc w:val="center"/>
        <w:tblLayout w:type="fixed"/>
        <w:tblLook w:firstColumn="1" w:firstRow="1" w:lastColumn="0" w:lastRow="0" w:noHBand="0" w:noVBand="1" w:val="04A0"/>
        <w:tblLayout w:type="fixed"/>
      </w:tblPr>
      <w:tblGrid>
        <w:gridCol w:w="1247"/>
        <w:gridCol w:w="1701"/>
        <w:gridCol w:w="1701"/>
        <w:gridCol w:w="1701"/>
        <w:gridCol w:w="1701"/>
        <w:gridCol w:w="1587"/>
      </w:tblGrid>
      <w:tr>
        <w:trPr>
          <w:tblHeader/>
          <w:cantSplit/>
        </w:trPr>
        <w:tc>
          <w:tcPr>
            <w:tcW w:type="dxa" w:w="1247"/>
            <w:shd w:val="clear" w:color="auto" w:fill="C9A227"/>
          </w:tcPr>
          <w:p>
            <w:pPr>
              <w:keepNext/>
            </w:pPr>
            <w:r/>
            <w:r>
              <w:rPr>
                <w:b/>
                <w:color w:val="000000"/>
                <w:sz w:val="14"/>
              </w:rPr>
            </w:r>
          </w:p>
        </w:tc>
        <w:tc>
          <w:tcPr>
            <w:tcW w:type="dxa" w:w="1701"/>
            <w:shd w:val="clear" w:color="auto" w:fill="C9A227"/>
          </w:tcPr>
          <w:p>
            <w:pPr>
              <w:keepNext/>
            </w:pPr>
            <w:r/>
            <w:r>
              <w:rPr>
                <w:b/>
                <w:color w:val="000000"/>
                <w:sz w:val="14"/>
              </w:rPr>
              <w:t>Referee 1</w:t>
            </w:r>
          </w:p>
        </w:tc>
        <w:tc>
          <w:tcPr>
            <w:tcW w:type="dxa" w:w="1701"/>
            <w:shd w:val="clear" w:color="auto" w:fill="C9A227"/>
          </w:tcPr>
          <w:p>
            <w:pPr>
              <w:keepNext/>
            </w:pPr>
            <w:r/>
            <w:r>
              <w:rPr>
                <w:b/>
                <w:color w:val="000000"/>
                <w:sz w:val="14"/>
              </w:rPr>
              <w:t>Referee 2</w:t>
            </w:r>
          </w:p>
        </w:tc>
        <w:tc>
          <w:tcPr>
            <w:tcW w:type="dxa" w:w="1701"/>
            <w:shd w:val="clear" w:color="auto" w:fill="C9A227"/>
          </w:tcPr>
          <w:p>
            <w:pPr>
              <w:keepNext/>
            </w:pPr>
            <w:r/>
            <w:r>
              <w:rPr>
                <w:b/>
                <w:color w:val="000000"/>
                <w:sz w:val="14"/>
              </w:rPr>
              <w:t>Referee 3</w:t>
            </w:r>
          </w:p>
        </w:tc>
        <w:tc>
          <w:tcPr>
            <w:tcW w:type="dxa" w:w="1701"/>
            <w:shd w:val="clear" w:color="auto" w:fill="C9A227"/>
          </w:tcPr>
          <w:p>
            <w:pPr>
              <w:keepNext/>
            </w:pPr>
            <w:r/>
            <w:r>
              <w:rPr>
                <w:b/>
                <w:color w:val="000000"/>
                <w:sz w:val="14"/>
              </w:rPr>
              <w:t>Referee 4</w:t>
            </w:r>
          </w:p>
        </w:tc>
        <w:tc>
          <w:tcPr>
            <w:tcW w:type="dxa" w:w="1587"/>
            <w:shd w:val="clear" w:color="auto" w:fill="C9A227"/>
          </w:tcPr>
          <w:p>
            <w:pPr>
              <w:keepNext/>
            </w:pPr>
            <w:r/>
            <w:r>
              <w:rPr>
                <w:b/>
                <w:color w:val="000000"/>
                <w:sz w:val="14"/>
              </w:rPr>
              <w:t>Referee 5 (partner)</w:t>
            </w:r>
          </w:p>
        </w:tc>
      </w:tr>
      <w:tr>
        <w:trPr>
          <w:cantSplit/>
        </w:trPr>
        <w:tc>
          <w:tcPr>
            <w:tcW w:type="dxa" w:w="1247"/>
          </w:tcPr>
          <w:p>
            <w:pPr>
              <w:keepNext/>
              <w:spacing w:after="20"/>
            </w:pPr>
            <w:r/>
            <w:r>
              <w:rPr>
                <w:sz w:val="14"/>
              </w:rPr>
              <w:t>Name</w:t>
            </w:r>
          </w:p>
        </w:tc>
        <w:tc>
          <w:tcPr>
            <w:tcW w:type="dxa" w:w="1701"/>
          </w:tcPr>
          <w:p>
            <w:pPr>
              <w:keepNext/>
              <w:spacing w:after="20"/>
            </w:pPr>
            <w:r/>
            <w:r>
              <w:rPr>
                <w:sz w:val="14"/>
              </w:rPr>
              <w:t>Darren Quilliam</w:t>
            </w:r>
          </w:p>
        </w:tc>
        <w:tc>
          <w:tcPr>
            <w:tcW w:type="dxa" w:w="1701"/>
          </w:tcPr>
          <w:p>
            <w:pPr>
              <w:keepNext/>
              <w:spacing w:after="20"/>
            </w:pPr>
            <w:r/>
            <w:r>
              <w:rPr>
                <w:sz w:val="14"/>
              </w:rPr>
              <w:t xml:space="preserve">Maverick Parker</w:t>
            </w:r>
          </w:p>
        </w:tc>
        <w:tc>
          <w:tcPr>
            <w:tcW w:type="dxa" w:w="1701"/>
          </w:tcPr>
          <w:p>
            <w:pPr>
              <w:keepNext/>
              <w:spacing w:after="20"/>
            </w:pPr>
            <w:r/>
            <w:r>
              <w:rPr>
                <w:sz w:val="14"/>
              </w:rPr>
              <w:t>Brett Langtree</w:t>
            </w:r>
          </w:p>
        </w:tc>
        <w:tc>
          <w:tcPr>
            <w:tcW w:type="dxa" w:w="1701"/>
          </w:tcPr>
          <w:p>
            <w:pPr>
              <w:keepNext/>
              <w:spacing w:after="20"/>
            </w:pPr>
            <w:r/>
            <w:r>
              <w:rPr>
                <w:sz w:val="14"/>
              </w:rPr>
              <w:t>Livio Chiarot FIEAust</w:t>
            </w:r>
          </w:p>
        </w:tc>
        <w:tc>
          <w:tcPr>
            <w:tcW w:type="dxa" w:w="1587"/>
          </w:tcPr>
          <w:p>
            <w:pPr>
              <w:keepNext/>
              <w:spacing w:after="20"/>
            </w:pPr>
            <w:r/>
            <w:r>
              <w:rPr>
                <w:sz w:val="14"/>
              </w:rPr>
              <w:t>[TBC from partner]</w:t>
            </w:r>
          </w:p>
        </w:tc>
      </w:tr>
      <w:tr>
        <w:trPr>
          <w:cantSplit/>
        </w:trPr>
        <w:tc>
          <w:tcPr>
            <w:tcW w:type="dxa" w:w="1247"/>
          </w:tcPr>
          <w:p>
            <w:pPr>
              <w:keepNext/>
              <w:spacing w:after="20"/>
            </w:pPr>
            <w:r/>
            <w:r>
              <w:rPr>
                <w:sz w:val="14"/>
              </w:rPr>
              <w:t>Company</w:t>
            </w:r>
          </w:p>
        </w:tc>
        <w:tc>
          <w:tcPr>
            <w:tcW w:type="dxa" w:w="1701"/>
          </w:tcPr>
          <w:p>
            <w:pPr>
              <w:keepNext/>
              <w:spacing w:after="20"/>
            </w:pPr>
            <w:r/>
            <w:r>
              <w:rPr>
                <w:sz w:val="14"/>
              </w:rPr>
              <w:t>Tablelands Regional Council (QLD)</w:t>
            </w:r>
          </w:p>
        </w:tc>
        <w:tc>
          <w:tcPr>
            <w:tcW w:type="dxa" w:w="1701"/>
          </w:tcPr>
          <w:p>
            <w:pPr>
              <w:keepNext/>
              <w:spacing w:after="20"/>
            </w:pPr>
            <w:r/>
            <w:r>
              <w:rPr>
                <w:sz w:val="14"/>
              </w:rPr>
              <w:t>CPB Contractors</w:t>
            </w:r>
          </w:p>
        </w:tc>
        <w:tc>
          <w:tcPr>
            <w:tcW w:type="dxa" w:w="1701"/>
          </w:tcPr>
          <w:p>
            <w:pPr>
              <w:keepNext/>
              <w:spacing w:after="20"/>
            </w:pPr>
            <w:r/>
            <w:r>
              <w:rPr>
                <w:sz w:val="14"/>
              </w:rPr>
              <w:t xml:space="preserve">Langtree Consulting</w:t>
            </w:r>
          </w:p>
        </w:tc>
        <w:tc>
          <w:tcPr>
            <w:tcW w:type="dxa" w:w="1701"/>
          </w:tcPr>
          <w:p>
            <w:pPr>
              <w:keepNext/>
              <w:spacing w:after="20"/>
            </w:pPr>
            <w:r/>
            <w:r>
              <w:rPr>
                <w:sz w:val="14"/>
              </w:rPr>
              <w:t>SCP Consulting Pty Ltd</w:t>
            </w:r>
          </w:p>
        </w:tc>
        <w:tc>
          <w:tcPr>
            <w:tcW w:type="dxa" w:w="1587"/>
          </w:tcPr>
          <w:p>
            <w:pPr>
              <w:keepNext/>
              <w:spacing w:after="20"/>
            </w:pPr>
            <w:r/>
            <w:r>
              <w:rPr>
                <w:sz w:val="14"/>
              </w:rPr>
              <w:t>[TBC]</w:t>
            </w:r>
          </w:p>
        </w:tc>
      </w:tr>
      <w:tr>
        <w:trPr>
          <w:cantSplit/>
        </w:trPr>
        <w:tc>
          <w:tcPr>
            <w:tcW w:type="dxa" w:w="1247"/>
          </w:tcPr>
          <w:p>
            <w:pPr>
              <w:keepNext/>
              <w:spacing w:after="20"/>
            </w:pPr>
            <w:r/>
            <w:r>
              <w:rPr>
                <w:sz w:val="14"/>
              </w:rPr>
              <w:t>Position</w:t>
            </w:r>
          </w:p>
        </w:tc>
        <w:tc>
          <w:tcPr>
            <w:tcW w:type="dxa" w:w="1701"/>
          </w:tcPr>
          <w:p>
            <w:pPr>
              <w:keepNext/>
              <w:spacing w:after="20"/>
            </w:pPr>
            <w:r/>
            <w:r>
              <w:rPr>
                <w:sz w:val="14"/>
              </w:rPr>
              <w:t>[TBC - Jayden]</w:t>
            </w:r>
          </w:p>
        </w:tc>
        <w:tc>
          <w:tcPr>
            <w:tcW w:type="dxa" w:w="1701"/>
          </w:tcPr>
          <w:p>
            <w:pPr>
              <w:keepNext/>
              <w:spacing w:after="20"/>
            </w:pPr>
            <w:r/>
            <w:r>
              <w:rPr>
                <w:sz w:val="14"/>
              </w:rPr>
              <w:t>Contact details available on request</w:t>
            </w:r>
          </w:p>
        </w:tc>
        <w:tc>
          <w:tcPr>
            <w:tcW w:type="dxa" w:w="1701"/>
          </w:tcPr>
          <w:p>
            <w:pPr>
              <w:keepNext/>
              <w:spacing w:after="20"/>
            </w:pPr>
            <w:r/>
            <w:r>
              <w:rPr>
                <w:sz w:val="14"/>
              </w:rPr>
              <w:t>Director and Principal Civil Engineer</w:t>
            </w:r>
          </w:p>
        </w:tc>
        <w:tc>
          <w:tcPr>
            <w:tcW w:type="dxa" w:w="1701"/>
          </w:tcPr>
          <w:p>
            <w:pPr>
              <w:keepNext/>
              <w:spacing w:after="20"/>
            </w:pPr>
            <w:r/>
            <w:r>
              <w:rPr>
                <w:sz w:val="14"/>
              </w:rPr>
              <w:t>Director</w:t>
            </w:r>
          </w:p>
        </w:tc>
        <w:tc>
          <w:tcPr>
            <w:tcW w:type="dxa" w:w="1587"/>
          </w:tcPr>
          <w:p>
            <w:pPr>
              <w:keepNext/>
              <w:spacing w:after="20"/>
            </w:pPr>
            <w:r/>
            <w:r>
              <w:rPr>
                <w:sz w:val="14"/>
              </w:rPr>
              <w:t>[TBC]</w:t>
            </w:r>
          </w:p>
        </w:tc>
      </w:tr>
      <w:tr>
        <w:trPr>
          <w:cantSplit/>
        </w:trPr>
        <w:tc>
          <w:tcPr>
            <w:tcW w:type="dxa" w:w="1247"/>
          </w:tcPr>
          <w:p>
            <w:pPr>
              <w:keepNext/>
              <w:spacing w:after="20"/>
            </w:pPr>
            <w:r/>
            <w:r>
              <w:rPr>
                <w:sz w:val="14"/>
              </w:rPr>
              <w:t>Address</w:t>
            </w:r>
          </w:p>
        </w:tc>
        <w:tc>
          <w:tcPr>
            <w:tcW w:type="dxa" w:w="1701"/>
          </w:tcPr>
          <w:p>
            <w:pPr>
              <w:keepNext/>
              <w:spacing w:after="20"/>
            </w:pPr>
            <w:r/>
            <w:r>
              <w:rPr>
                <w:sz w:val="14"/>
              </w:rPr>
              <w:t>[TBC - Jayden]</w:t>
            </w:r>
          </w:p>
        </w:tc>
        <w:tc>
          <w:tcPr>
            <w:tcW w:type="dxa" w:w="1701"/>
          </w:tcPr>
          <w:p>
            <w:pPr>
              <w:keepNext/>
              <w:spacing w:after="20"/>
            </w:pPr>
            <w:r/>
            <w:r>
              <w:rPr>
                <w:sz w:val="14"/>
              </w:rPr>
              <w:t>Contact details available on request</w:t>
            </w:r>
          </w:p>
        </w:tc>
        <w:tc>
          <w:tcPr>
            <w:tcW w:type="dxa" w:w="1701"/>
          </w:tcPr>
          <w:p>
            <w:pPr>
              <w:keepNext/>
              <w:spacing w:after="20"/>
            </w:pPr>
            <w:r/>
            <w:r>
              <w:rPr>
                <w:sz w:val="14"/>
              </w:rPr>
              <w:t>Townsville QLD [street address TBC - Jayden]</w:t>
            </w:r>
          </w:p>
        </w:tc>
        <w:tc>
          <w:tcPr>
            <w:tcW w:type="dxa" w:w="1701"/>
          </w:tcPr>
          <w:p>
            <w:pPr>
              <w:keepNext/>
              <w:spacing w:after="20"/>
            </w:pPr>
            <w:r/>
            <w:r>
              <w:rPr>
                <w:sz w:val="14"/>
              </w:rPr>
              <w:t>[address TBC - Jayden]</w:t>
            </w:r>
          </w:p>
        </w:tc>
        <w:tc>
          <w:tcPr>
            <w:tcW w:type="dxa" w:w="1587"/>
          </w:tcPr>
          <w:p>
            <w:pPr>
              <w:keepNext/>
              <w:spacing w:after="20"/>
            </w:pPr>
            <w:r/>
            <w:r>
              <w:rPr>
                <w:sz w:val="14"/>
              </w:rPr>
              <w:t>[TBC]</w:t>
            </w:r>
          </w:p>
        </w:tc>
      </w:tr>
      <w:tr>
        <w:trPr>
          <w:cantSplit/>
        </w:trPr>
        <w:tc>
          <w:tcPr>
            <w:tcW w:type="dxa" w:w="1247"/>
          </w:tcPr>
          <w:p>
            <w:pPr>
              <w:keepNext/>
              <w:spacing w:after="20"/>
            </w:pPr>
            <w:r/>
            <w:r>
              <w:rPr>
                <w:sz w:val="14"/>
              </w:rPr>
              <w:t>Phone</w:t>
            </w:r>
          </w:p>
        </w:tc>
        <w:tc>
          <w:tcPr>
            <w:tcW w:type="dxa" w:w="1701"/>
          </w:tcPr>
          <w:p>
            <w:pPr>
              <w:keepNext/>
              <w:spacing w:after="20"/>
            </w:pPr>
            <w:r/>
            <w:r>
              <w:rPr>
                <w:sz w:val="14"/>
              </w:rPr>
              <w:t>[TBC - Jayden]</w:t>
            </w:r>
          </w:p>
        </w:tc>
        <w:tc>
          <w:tcPr>
            <w:tcW w:type="dxa" w:w="1701"/>
          </w:tcPr>
          <w:p>
            <w:pPr>
              <w:keepNext/>
              <w:spacing w:after="20"/>
            </w:pPr>
            <w:r/>
            <w:r>
              <w:rPr>
                <w:sz w:val="14"/>
              </w:rPr>
              <w:t>Contact details available on request</w:t>
            </w:r>
          </w:p>
        </w:tc>
        <w:tc>
          <w:tcPr>
            <w:tcW w:type="dxa" w:w="1701"/>
          </w:tcPr>
          <w:p>
            <w:pPr>
              <w:keepNext/>
              <w:spacing w:after="20"/>
            </w:pPr>
            <w:r/>
            <w:r>
              <w:rPr>
                <w:sz w:val="14"/>
              </w:rPr>
              <w:t>0400 699 979</w:t>
            </w:r>
          </w:p>
        </w:tc>
        <w:tc>
          <w:tcPr>
            <w:tcW w:type="dxa" w:w="1701"/>
          </w:tcPr>
          <w:p>
            <w:pPr>
              <w:keepNext/>
              <w:spacing w:after="20"/>
            </w:pPr>
            <w:r/>
            <w:r>
              <w:rPr>
                <w:sz w:val="14"/>
              </w:rPr>
              <w:t>0418 150 028</w:t>
            </w:r>
          </w:p>
        </w:tc>
        <w:tc>
          <w:tcPr>
            <w:tcW w:type="dxa" w:w="1587"/>
          </w:tcPr>
          <w:p>
            <w:pPr>
              <w:keepNext/>
              <w:spacing w:after="20"/>
            </w:pPr>
            <w:r/>
            <w:r>
              <w:rPr>
                <w:sz w:val="14"/>
              </w:rPr>
              <w:t>[TBC]</w:t>
            </w:r>
          </w:p>
        </w:tc>
      </w:tr>
      <w:tr>
        <w:trPr>
          <w:cantSplit/>
        </w:trPr>
        <w:tc>
          <w:tcPr>
            <w:tcW w:type="dxa" w:w="1247"/>
          </w:tcPr>
          <w:p>
            <w:pPr>
              <w:keepNext/>
              <w:spacing w:after="20"/>
            </w:pPr>
            <w:r/>
            <w:r>
              <w:rPr>
                <w:sz w:val="14"/>
              </w:rPr>
              <w:t>Email</w:t>
            </w:r>
          </w:p>
        </w:tc>
        <w:tc>
          <w:tcPr>
            <w:tcW w:type="dxa" w:w="1701"/>
          </w:tcPr>
          <w:p>
            <w:pPr>
              <w:keepNext/>
              <w:spacing w:after="20"/>
            </w:pPr>
            <w:r/>
            <w:r>
              <w:rPr>
                <w:sz w:val="14"/>
              </w:rPr>
              <w:t>[TBC - Jayden]</w:t>
            </w:r>
          </w:p>
        </w:tc>
        <w:tc>
          <w:tcPr>
            <w:tcW w:type="dxa" w:w="1701"/>
          </w:tcPr>
          <w:p>
            <w:pPr>
              <w:keepNext/>
              <w:spacing w:after="20"/>
            </w:pPr>
            <w:r/>
            <w:r>
              <w:rPr>
                <w:sz w:val="14"/>
              </w:rPr>
              <w:t xml:space="preserve">Maverick.Parker@cpbcon.com.au</w:t>
            </w:r>
          </w:p>
        </w:tc>
        <w:tc>
          <w:tcPr>
            <w:tcW w:type="dxa" w:w="1701"/>
          </w:tcPr>
          <w:p>
            <w:pPr>
              <w:keepNext/>
              <w:spacing w:after="20"/>
            </w:pPr>
            <w:r/>
            <w:r>
              <w:rPr>
                <w:sz w:val="14"/>
              </w:rPr>
              <w:t>brett@langtreeconsulting.com.au</w:t>
            </w:r>
          </w:p>
        </w:tc>
        <w:tc>
          <w:tcPr>
            <w:tcW w:type="dxa" w:w="1701"/>
          </w:tcPr>
          <w:p>
            <w:pPr>
              <w:keepNext/>
              <w:spacing w:after="20"/>
            </w:pPr>
            <w:r/>
            <w:r>
              <w:rPr>
                <w:sz w:val="14"/>
              </w:rPr>
              <w:t>livio.chiarot@scpconsult.com.au</w:t>
            </w:r>
          </w:p>
        </w:tc>
        <w:tc>
          <w:tcPr>
            <w:tcW w:type="dxa" w:w="1587"/>
          </w:tcPr>
          <w:p>
            <w:pPr>
              <w:keepNext/>
              <w:spacing w:after="20"/>
            </w:pPr>
            <w:r/>
            <w:r>
              <w:rPr>
                <w:sz w:val="14"/>
              </w:rPr>
              <w:t>[TBC]</w:t>
            </w:r>
          </w:p>
        </w:tc>
      </w:tr>
      <w:tr>
        <w:trPr>
          <w:cantSplit/>
        </w:trPr>
        <w:tc>
          <w:tcPr>
            <w:tcW w:type="dxa" w:w="1247"/>
          </w:tcPr>
          <w:p>
            <w:pPr>
              <w:spacing w:after="20"/>
            </w:pPr>
            <w:r/>
            <w:r>
              <w:rPr>
                <w:sz w:val="14"/>
              </w:rPr>
              <w:t>Project / contract</w:t>
            </w:r>
          </w:p>
        </w:tc>
        <w:tc>
          <w:tcPr>
            <w:tcW w:type="dxa" w:w="1701"/>
          </w:tcPr>
          <w:p>
            <w:pPr>
              <w:spacing w:after="20"/>
            </w:pPr>
            <w:r/>
            <w:r>
              <w:rPr>
                <w:sz w:val="14"/>
              </w:rPr>
              <w:t xml:space="preserve">Ravenshoe leachate storage facility design modification (2025); floodway rectification (Tablelands Regional Council)</w:t>
            </w:r>
          </w:p>
        </w:tc>
        <w:tc>
          <w:tcPr>
            <w:tcW w:type="dxa" w:w="1701"/>
          </w:tcPr>
          <w:p>
            <w:pPr>
              <w:spacing w:after="20"/>
            </w:pPr>
            <w:r/>
            <w:r>
              <w:rPr>
                <w:sz w:val="14"/>
              </w:rPr>
              <w:t>RAAF Base Townsville, Defence delivery project for CPB Contractors (head contractor)</w:t>
            </w:r>
          </w:p>
        </w:tc>
        <w:tc>
          <w:tcPr>
            <w:tcW w:type="dxa" w:w="1701"/>
          </w:tcPr>
          <w:p>
            <w:pPr>
              <w:spacing w:after="20"/>
            </w:pPr>
            <w:r/>
            <w:r>
              <w:rPr>
                <w:sz w:val="14"/>
              </w:rPr>
              <w:t>Direct supervisor of Jayden Callen, 03/2025 to 05/2026 (subdivision design management, site inspections)</w:t>
            </w:r>
          </w:p>
        </w:tc>
        <w:tc>
          <w:tcPr>
            <w:tcW w:type="dxa" w:w="1701"/>
          </w:tcPr>
          <w:p>
            <w:pPr>
              <w:spacing w:after="20"/>
            </w:pPr>
            <w:r/>
            <w:r>
              <w:rPr>
                <w:sz w:val="14"/>
              </w:rPr>
              <w:t>Supervisor 06/2023 to 03/2025 (Defence site engineering and QA, RAAF Base Townsville); technical reviewer, WSIA rising main 2026</w:t>
            </w:r>
          </w:p>
        </w:tc>
        <w:tc>
          <w:tcPr>
            <w:tcW w:type="dxa" w:w="1587"/>
          </w:tcPr>
          <w:p>
            <w:pPr>
              <w:spacing w:after="20"/>
            </w:pPr>
            <w:r/>
            <w:r>
              <w:rPr>
                <w:sz w:val="14"/>
              </w:rPr>
              <w:t>[Landfill CQA project]</w:t>
            </w:r>
          </w:p>
        </w:tc>
      </w:tr>
    </w:tbl>
    <w:p>
      <w:pPr>
        <w:spacing w:after="40"/>
      </w:pPr>
    </w:p>
    <w:p>
      <w:pPr>
        <w:pStyle w:val="Heading1"/>
        <w:pBdr>
          <w:bottom w:val="single" w:sz="6" w:space="1" w:color="C9A227"/>
        </w:pBdr>
      </w:pPr>
      <w:r>
        <w:t>Form 4: Technical Data</w:t>
      </w:r>
    </w:p>
    <w:p>
      <w:r>
        <w:rPr>
          <w:i w:val="0"/>
        </w:rPr>
        <w:t>1. Work Health and Safety. JCE will implement a site-specific WHS plan and SWMS for the CQA services, under its WHS Management System (31 controlled documents, adopted 22/06/2026, attached). JCE and partner staff will complete Council's online induction (safety@wagga.nsw.gov.au) and the Contractor's site induction before starting work.</w:t>
      </w:r>
    </w:p>
    <w:p>
      <w:r>
        <w:rPr>
          <w:i w:val="0"/>
        </w:rPr>
        <w:t>2. Critical assumptions:</w:t>
      </w:r>
    </w:p>
    <w:p>
      <w:pPr>
        <w:pStyle w:val="ListBullet"/>
      </w:pPr>
      <w:r>
        <w:t>Provisional sums PS1 to PS7 (partner resident technicians, senior landfill CQA review, NATA testing, leak location surveys, check survey) are claimed only to the extent used, at the rates in the B2 schedule and the fee proposal Attachment A.</w:t>
      </w:r>
    </w:p>
    <w:p>
      <w:pPr>
        <w:pStyle w:val="ListBullet"/>
      </w:pPr>
      <w:r>
        <w:t>Part D 1.13 full-time presence is priced: PS1 covers the geosynthetic lining works and hold points; PS2 covers all other working hours (RFI 1). Assumed 145 working days on Cell 3.1 and 80 on Monocell M1.1.</w:t>
      </w:r>
    </w:p>
    <w:p>
      <w:pPr>
        <w:pStyle w:val="ListBullet"/>
      </w:pPr>
      <w:r>
        <w:t>GTA (Level 2) subgrade testing is by the Head Contractor (Council answer 06/10/2026). GITA Level 1 testing of the engineered fill layer is excluded; a rate is offered (RFI 2).</w:t>
      </w:r>
    </w:p>
    <w:p>
      <w:pPr>
        <w:pStyle w:val="ListBullet"/>
      </w:pPr>
      <w:r>
        <w:t>Works run 0700 to 1800 Monday to Friday (Part D 1.8); out-of-hours attendance is a variation at the contract rates.</w:t>
      </w:r>
    </w:p>
    <w:p>
      <w:pPr>
        <w:pStyle w:val="ListBullet"/>
      </w:pPr>
      <w:r>
        <w:t>The Contractor gives at least 24 hours' notice of hold points and supplies samples free of charge.</w:t>
      </w:r>
    </w:p>
    <w:p>
      <w:pPr>
        <w:pStyle w:val="ListBullet"/>
      </w:pPr>
      <w:r>
        <w:t>Program per the fee proposal Section 7: Cell 3.1 February to September 2027; Monocell M1.1 April to November 2027; price holds for sequential or concurrent portions.</w:t>
      </w:r>
    </w:p>
    <w:p>
      <w:r>
        <w:rPr>
          <w:i w:val="0"/>
        </w:rPr>
        <w:t>3. Method of work plan: see fee proposal Sections 2 to 7. In summary: the partner's resident CQA technicians inspect on site during all working hours and issue daily logs and hold point packages; JCE (CQA Engineer of record) reviews all records by noon the next business day, releases hold points in writing, attends the critical hold points (GCL and HDPE start-up, first subgrade and engineered fill releases, each leak location survey, final inspections), and prepares the as-constructed CQA report for each cell, co-signed by the partner's senior landfill CQA engineer. At each JCE site visit, JCE will deploy a DJI Mavic 3 Enterprise with RTK to capture an orthophoto, a 3D surface of the exposed layer and high-resolution progress and defect imagery for the CQA records; this supplements, and does not replace, the Contractor's licensed survey.</w:t>
      </w:r>
    </w:p>
    <w:p>
      <w:r>
        <w:rPr>
          <w:i w:val="0"/>
        </w:rPr>
        <w:t>Resources and equipment: 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w:t>
      </w:r>
    </w:p>
    <w:p>
      <w:pPr>
        <w:pStyle w:val="Heading1"/>
        <w:pBdr>
          <w:bottom w:val="single" w:sz="6" w:space="1" w:color="C9A227"/>
        </w:pBdr>
      </w:pPr>
      <w:r>
        <w:t>Form 5: Quality Systems</w:t>
      </w:r>
    </w:p>
    <w:p>
      <w:pPr>
        <w:pStyle w:val="ListBullet"/>
      </w:pPr>
      <w:r>
        <w:rPr>
          <w:b/>
        </w:rPr>
        <w:t xml:space="preserve">Quality management: </w:t>
      </w:r>
      <w:r>
        <w:t>JCE Quality Policy JCE-QMS-POL-001 (attached), document control and certification register. No third-party ISO 9001 certification. Example plan: [TBC - Jayden: attach a JCE quality plan example or the CQA Implementation Plan outline].</w:t>
      </w:r>
    </w:p>
    <w:p>
      <w:pPr>
        <w:pStyle w:val="ListBullet"/>
      </w:pPr>
      <w:r>
        <w:rPr>
          <w:b/>
        </w:rPr>
        <w:t xml:space="preserve">WHS management: </w:t>
      </w:r>
      <w:r>
        <w:t>see Form 10; JCE WHS Management System attached.</w:t>
      </w:r>
    </w:p>
    <w:p>
      <w:pPr>
        <w:pStyle w:val="ListBullet"/>
      </w:pPr>
      <w:r>
        <w:rPr>
          <w:b/>
        </w:rPr>
        <w:t xml:space="preserve">Environmental management: </w:t>
      </w:r>
      <w:r>
        <w:t>JCE Environmental Policy JCE-ENV-POL-001 (attached). No ISO 14001 certification.</w:t>
      </w:r>
    </w:p>
    <w:p>
      <w:pPr>
        <w:pStyle w:val="ListBullet"/>
      </w:pPr>
      <w:r>
        <w:rPr>
          <w:b/>
        </w:rPr>
        <w:t xml:space="preserve">Construction Quality Assurance Plan: </w:t>
      </w:r>
      <w:r>
        <w:t>the CQA Implementation Plan outline in fee proposal Sections 2 to 5, built on Attachments A and E. [TBC - Jayden: attach the partner's example landfill CQA plan or report extract, with permission.]</w:t>
      </w:r>
    </w:p>
    <w:p>
      <w:pPr>
        <w:pStyle w:val="Heading1"/>
        <w:pBdr>
          <w:bottom w:val="single" w:sz="6" w:space="1" w:color="C9A227"/>
        </w:pBdr>
      </w:pPr>
      <w:r>
        <w:t>Form 6: Schedule of Subcontractors</w:t>
      </w:r>
    </w:p>
    <w:tbl>
      <w:tblPr>
        <w:tblStyle w:val="TableGrid"/>
        <w:tblW w:type="dxa" w:w="9639"/>
        <w:jc w:val="center"/>
        <w:tblLayout w:type="fixed"/>
        <w:tblLook w:firstColumn="1" w:firstRow="1" w:lastColumn="0" w:lastRow="0" w:noHBand="0" w:noVBand="1" w:val="04A0"/>
        <w:tblLayout w:type="fixed"/>
      </w:tblPr>
      <w:tblGrid>
        <w:gridCol w:w="4536"/>
        <w:gridCol w:w="5103"/>
      </w:tblGrid>
      <w:tr>
        <w:trPr>
          <w:tblHeader/>
          <w:cantSplit/>
        </w:trPr>
        <w:tc>
          <w:tcPr>
            <w:tcW w:type="dxa" w:w="4535"/>
            <w:shd w:val="clear" w:color="auto" w:fill="C9A227"/>
          </w:tcPr>
          <w:p>
            <w:pPr>
              <w:keepNext/>
            </w:pPr>
            <w:r/>
            <w:r>
              <w:rPr>
                <w:b/>
                <w:color w:val="000000"/>
                <w:sz w:val="17"/>
              </w:rPr>
              <w:t>Work to be carried out by subcontractor</w:t>
            </w:r>
          </w:p>
        </w:tc>
        <w:tc>
          <w:tcPr>
            <w:tcW w:type="dxa" w:w="5102"/>
            <w:shd w:val="clear" w:color="auto" w:fill="C9A227"/>
          </w:tcPr>
          <w:p>
            <w:pPr>
              <w:keepNext/>
            </w:pPr>
            <w:r/>
            <w:r>
              <w:rPr>
                <w:b/>
                <w:color w:val="000000"/>
                <w:sz w:val="17"/>
              </w:rPr>
              <w:t>Name and address of subcontractor</w:t>
            </w:r>
          </w:p>
        </w:tc>
      </w:tr>
      <w:tr>
        <w:trPr>
          <w:cantSplit/>
        </w:trPr>
        <w:tc>
          <w:tcPr>
            <w:tcW w:type="dxa" w:w="4535"/>
          </w:tcPr>
          <w:p>
            <w:pPr>
              <w:keepNext/>
              <w:spacing w:after="20"/>
            </w:pPr>
            <w:r/>
            <w:r>
              <w:rPr>
                <w:sz w:val="17"/>
              </w:rPr>
              <w:t>Resident CQA technicians during all working hours; NATA soils and gravel IQA testing and sample transport; senior landfill CQA engineer review and co-signing of CQA reports</w:t>
            </w:r>
          </w:p>
        </w:tc>
        <w:tc>
          <w:tcPr>
            <w:tcW w:type="dxa" w:w="5102"/>
          </w:tcPr>
          <w:p>
            <w:pPr>
              <w:keepNext/>
              <w:spacing w:after="20"/>
            </w:pPr>
            <w:r/>
            <w:r>
              <w:rPr>
                <w:sz w:val="17"/>
              </w:rPr>
              <w:t>[Riverina CQA partner, TBC - Jayden from RFQ] (shortlist: Aitken Rowe Testing Laboratories, 1/5 Dangar Place, East Wagga Wagga; Inland Geotechnical, 6 Jones Street, East Wagga Wagga; Civiltest Pty Ltd, Wodonga)</w:t>
            </w:r>
          </w:p>
        </w:tc>
      </w:tr>
      <w:tr>
        <w:trPr>
          <w:cantSplit/>
        </w:trPr>
        <w:tc>
          <w:tcPr>
            <w:tcW w:type="dxa" w:w="4535"/>
          </w:tcPr>
          <w:p>
            <w:pPr>
              <w:keepNext/>
              <w:spacing w:after="20"/>
            </w:pPr>
            <w:r/>
            <w:r>
              <w:rPr>
                <w:sz w:val="17"/>
              </w:rPr>
              <w:t>NATA IQA testing of geosynthetics</w:t>
            </w:r>
          </w:p>
        </w:tc>
        <w:tc>
          <w:tcPr>
            <w:tcW w:type="dxa" w:w="5102"/>
          </w:tcPr>
          <w:p>
            <w:pPr>
              <w:keepNext/>
              <w:spacing w:after="20"/>
            </w:pPr>
            <w:r/>
            <w:r>
              <w:rPr>
                <w:sz w:val="17"/>
              </w:rPr>
              <w:t>[TBC from RFQ: TRI Australasia or ExcelPlas]</w:t>
            </w:r>
          </w:p>
        </w:tc>
      </w:tr>
      <w:tr>
        <w:trPr>
          <w:cantSplit/>
        </w:trPr>
        <w:tc>
          <w:tcPr>
            <w:tcW w:type="dxa" w:w="4535"/>
          </w:tcPr>
          <w:p>
            <w:pPr>
              <w:keepNext/>
              <w:spacing w:after="20"/>
            </w:pPr>
            <w:r/>
            <w:r>
              <w:rPr>
                <w:sz w:val="17"/>
              </w:rPr>
              <w:t>Liner integrity (electrical leak location) surveys</w:t>
            </w:r>
          </w:p>
        </w:tc>
        <w:tc>
          <w:tcPr>
            <w:tcW w:type="dxa" w:w="5102"/>
          </w:tcPr>
          <w:p>
            <w:pPr>
              <w:keepNext/>
              <w:spacing w:after="20"/>
            </w:pPr>
            <w:r/>
            <w:r>
              <w:rPr>
                <w:sz w:val="17"/>
              </w:rPr>
              <w:t>[TBC from RFQ: GeoQ, or specialist nominated by the geosynthetics laboratory]</w:t>
            </w:r>
          </w:p>
        </w:tc>
      </w:tr>
      <w:tr>
        <w:trPr>
          <w:cantSplit/>
        </w:trPr>
        <w:tc>
          <w:tcPr>
            <w:tcW w:type="dxa" w:w="4535"/>
          </w:tcPr>
          <w:p>
            <w:pPr>
              <w:keepNext/>
              <w:spacing w:after="20"/>
            </w:pPr>
            <w:r/>
            <w:r>
              <w:rPr>
                <w:sz w:val="17"/>
              </w:rPr>
              <w:t>Associate certifying engineer: independent review of the CQA Implementation Plan and CQA reports, certification support</w:t>
            </w:r>
          </w:p>
        </w:tc>
        <w:tc>
          <w:tcPr>
            <w:tcW w:type="dxa" w:w="5102"/>
          </w:tcPr>
          <w:p>
            <w:pPr>
              <w:keepNext/>
              <w:spacing w:after="20"/>
            </w:pPr>
            <w:r/>
            <w:r>
              <w:rPr>
                <w:sz w:val="17"/>
              </w:rPr>
              <w:t>Sunny Lotay, Lotay Civil (standing associate agreement with JCE) [address TBC - Jayden]</w:t>
            </w:r>
          </w:p>
        </w:tc>
      </w:tr>
      <w:tr>
        <w:trPr>
          <w:cantSplit/>
        </w:trPr>
        <w:tc>
          <w:tcPr>
            <w:tcW w:type="dxa" w:w="4535"/>
          </w:tcPr>
          <w:p>
            <w:pPr>
              <w:spacing w:after="20"/>
            </w:pPr>
            <w:r/>
            <w:r>
              <w:rPr>
                <w:sz w:val="17"/>
              </w:rPr>
              <w:t>Independent check survey</w:t>
            </w:r>
          </w:p>
        </w:tc>
        <w:tc>
          <w:tcPr>
            <w:tcW w:type="dxa" w:w="5102"/>
          </w:tcPr>
          <w:p>
            <w:pPr>
              <w:spacing w:after="20"/>
            </w:pPr>
            <w:r/>
            <w:r>
              <w:rPr>
                <w:sz w:val="17"/>
              </w:rPr>
              <w:t>[TBC from RFQ: Rivland Surveyors, Wagga Surveyors or Amey, Wagga Wagga]</w:t>
            </w:r>
          </w:p>
        </w:tc>
      </w:tr>
    </w:tbl>
    <w:p>
      <w:pPr>
        <w:spacing w:after="40"/>
      </w:pPr>
    </w:p>
    <w:p>
      <w:pPr>
        <w:pStyle w:val="Heading1"/>
        <w:pBdr>
          <w:bottom w:val="single" w:sz="6" w:space="1" w:color="C9A227"/>
        </w:pBdr>
      </w:pPr>
      <w:r>
        <w:t>Form 7: Key Employee Details</w:t>
      </w: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pPr>
              <w:keepNext/>
            </w:pPr>
            <w:r/>
            <w:r>
              <w:rPr>
                <w:b/>
                <w:color w:val="000000"/>
                <w:sz w:val="17"/>
              </w:rPr>
              <w:t>Employee name and position</w:t>
            </w:r>
          </w:p>
        </w:tc>
        <w:tc>
          <w:tcPr>
            <w:tcW w:type="dxa" w:w="6520"/>
            <w:shd w:val="clear" w:color="auto" w:fill="C9A227"/>
          </w:tcPr>
          <w:p>
            <w:pPr>
              <w:keepNext/>
            </w:pPr>
            <w:r/>
            <w:r>
              <w:rPr>
                <w:b/>
                <w:color w:val="000000"/>
                <w:sz w:val="17"/>
              </w:rPr>
              <w:t>Relevant qualifications, skills and experience</w:t>
            </w:r>
          </w:p>
        </w:tc>
      </w:tr>
      <w:tr>
        <w:trPr>
          <w:cantSplit/>
        </w:trPr>
        <w:tc>
          <w:tcPr>
            <w:tcW w:type="dxa" w:w="3118"/>
          </w:tcPr>
          <w:p>
            <w:pPr>
              <w:keepNext/>
              <w:spacing w:after="20"/>
            </w:pPr>
            <w:r/>
            <w:r>
              <w:rPr>
                <w:sz w:val="17"/>
              </w:rPr>
              <w:t>Jayden Callen, Director, CQA Engineer of record</w:t>
            </w:r>
          </w:p>
        </w:tc>
        <w:tc>
          <w:tcPr>
            <w:tcW w:type="dxa" w:w="6520"/>
          </w:tcPr>
          <w:p>
            <w:pPr>
              <w:keepNext/>
              <w:spacing w:after="20"/>
            </w:pPr>
            <w:r/>
            <w:r>
              <w:rPr>
                <w:sz w:val="17"/>
              </w:rPr>
              <w:t xml:space="preserve">BEng (Civil)(Hons), Deakin University; MIEAust (EA 11036201); NER application in progress (not CPEng). 8+ years in civil infrastructure. Ravenshoe leachate storage facility design modification, Tablelands Regional Council (QLD), 2025 (Jayden Callen while at Langtree Consulting); Floodway rectification, Tablelands Regional Council (QLD) (also while at Langtree Consulting): engineering for the rectification of a floodway on Council's road network (referee Darren Quilliam, Tablelands Regional Council). RAAF Base Townsville, Defence delivery project: engineering delivery for CPB Contractors (head contractor) (referee Maverick Parker, CPB Contractors). Farm drainage works, private rural client (Craig Sullivan): drone photogrammetry survey processed in Autodesk ReCap Pro to a terrain surface used to design the drainage works. Other: site engineering and QA on Defence projects (about 10 km of water mains at RAAF Base Townsville; runway works surveillance at RAAF Base Tindal); engineering delivery for CPB Contractors (head contractor) at RAAF Base Townsville; hold point technical review of a D&amp;C pump station package (WSIA). No previous CQA commission on a landfill cell liner.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CV attached.</w:t>
            </w:r>
          </w:p>
        </w:tc>
      </w:tr>
      <w:tr>
        <w:trPr>
          <w:cantSplit/>
        </w:trPr>
        <w:tc>
          <w:tcPr>
            <w:tcW w:type="dxa" w:w="3118"/>
          </w:tcPr>
          <w:p>
            <w:pPr>
              <w:keepNext/>
              <w:spacing w:after="20"/>
            </w:pPr>
            <w:r/>
            <w:r>
              <w:rPr>
                <w:sz w:val="17"/>
              </w:rPr>
              <w:t>Sunny Lotay, Associate Principal Engineer, Lotay Civil (associate, not a JCE employee)</w:t>
            </w:r>
          </w:p>
        </w:tc>
        <w:tc>
          <w:tcPr>
            <w:tcW w:type="dxa" w:w="6520"/>
          </w:tcPr>
          <w:p>
            <w:pPr>
              <w:keepNext/>
              <w:spacing w:after="20"/>
            </w:pPr>
            <w:r/>
            <w:r>
              <w:rPr>
                <w:sz w:val="17"/>
              </w:rPr>
              <w:t>Sunny Lotay, Associate Principal Engineer (RPEQ, NER), Lotay Civil: engaged by JCE under a standing associate agreement as technical reviewer and certifying engineer on JCE commissions. RPEQ, NER. Role here: independent review of the CQA Implementation Plan and CQA reports, certification support, backup project lead.</w:t>
            </w:r>
          </w:p>
        </w:tc>
      </w:tr>
      <w:tr>
        <w:trPr>
          <w:cantSplit/>
        </w:trPr>
        <w:tc>
          <w:tcPr>
            <w:tcW w:type="dxa" w:w="3118"/>
          </w:tcPr>
          <w:p>
            <w:pPr>
              <w:keepNext/>
              <w:spacing w:after="20"/>
            </w:pPr>
            <w:r/>
            <w:r>
              <w:rPr>
                <w:sz w:val="17"/>
              </w:rPr>
              <w:t>[Name], Senior landfill CQA engineer, [Riverina CQA partner, TBC - Jayden from RFQ]</w:t>
            </w:r>
          </w:p>
        </w:tc>
        <w:tc>
          <w:tcPr>
            <w:tcW w:type="dxa" w:w="6520"/>
          </w:tcPr>
          <w:p>
            <w:pPr>
              <w:keepNext/>
              <w:spacing w:after="20"/>
            </w:pPr>
            <w:r/>
            <w:r>
              <w:rPr>
                <w:sz w:val="17"/>
              </w:rPr>
              <w:t>[Qualifications, registration, years of landfill CQA, NSW projects - from RFQ]</w:t>
            </w:r>
          </w:p>
        </w:tc>
      </w:tr>
      <w:tr>
        <w:trPr>
          <w:cantSplit/>
        </w:trPr>
        <w:tc>
          <w:tcPr>
            <w:tcW w:type="dxa" w:w="3118"/>
          </w:tcPr>
          <w:p>
            <w:pPr>
              <w:spacing w:after="20"/>
            </w:pPr>
            <w:r/>
            <w:r>
              <w:rPr>
                <w:sz w:val="17"/>
              </w:rPr>
              <w:t>[Names], Resident CQA technicians, [Riverina CQA partner, TBC - Jayden from RFQ]</w:t>
            </w:r>
          </w:p>
        </w:tc>
        <w:tc>
          <w:tcPr>
            <w:tcW w:type="dxa" w:w="6520"/>
          </w:tcPr>
          <w:p>
            <w:pPr>
              <w:spacing w:after="20"/>
            </w:pPr>
            <w:r/>
            <w:r>
              <w:rPr>
                <w:sz w:val="17"/>
              </w:rPr>
              <w:t>[Landfill liner and earthworks CQA experience, NATA field testing - from RFQ]</w:t>
            </w:r>
          </w:p>
        </w:tc>
      </w:tr>
    </w:tbl>
    <w:p>
      <w:pPr>
        <w:spacing w:after="40"/>
      </w:pPr>
    </w:p>
    <w:p>
      <w:pPr>
        <w:pStyle w:val="Heading1"/>
        <w:pBdr>
          <w:bottom w:val="single" w:sz="6" w:space="1" w:color="C9A227"/>
        </w:pBdr>
      </w:pPr>
      <w:r>
        <w:t>Form 8: Regional Preference</w:t>
      </w: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pPr>
              <w:keepNext/>
            </w:pPr>
            <w:r/>
            <w:r>
              <w:rPr>
                <w:b/>
                <w:color w:val="000000"/>
                <w:sz w:val="17"/>
              </w:rPr>
              <w:t>Category</w:t>
            </w:r>
          </w:p>
        </w:tc>
        <w:tc>
          <w:tcPr>
            <w:tcW w:type="dxa" w:w="6520"/>
            <w:shd w:val="clear" w:color="auto" w:fill="C9A227"/>
          </w:tcPr>
          <w:p>
            <w:pPr>
              <w:keepNext/>
            </w:pPr>
            <w:r/>
            <w:r>
              <w:rPr>
                <w:b/>
                <w:color w:val="000000"/>
                <w:sz w:val="17"/>
              </w:rPr>
              <w:t>Details</w:t>
            </w:r>
          </w:p>
        </w:tc>
      </w:tr>
      <w:tr>
        <w:trPr>
          <w:cantSplit/>
        </w:trPr>
        <w:tc>
          <w:tcPr>
            <w:tcW w:type="dxa" w:w="3118"/>
          </w:tcPr>
          <w:p>
            <w:pPr>
              <w:keepNext/>
              <w:spacing w:after="20"/>
            </w:pPr>
            <w:r/>
            <w:r>
              <w:rPr>
                <w:sz w:val="17"/>
              </w:rPr>
              <w:t>A / B</w:t>
            </w:r>
          </w:p>
        </w:tc>
        <w:tc>
          <w:tcPr>
            <w:tcW w:type="dxa" w:w="6520"/>
          </w:tcPr>
          <w:p>
            <w:pPr>
              <w:keepNext/>
              <w:spacing w:after="20"/>
            </w:pPr>
            <w:r/>
            <w:r>
              <w:rPr>
                <w:sz w:val="17"/>
              </w:rPr>
              <w:t>Not applicable.</w:t>
            </w:r>
          </w:p>
        </w:tc>
      </w:tr>
      <w:tr>
        <w:trPr>
          <w:cantSplit/>
        </w:trPr>
        <w:tc>
          <w:tcPr>
            <w:tcW w:type="dxa" w:w="3118"/>
          </w:tcPr>
          <w:p>
            <w:pPr>
              <w:keepNext/>
              <w:spacing w:after="20"/>
            </w:pPr>
            <w:r/>
            <w:r>
              <w:rPr>
                <w:sz w:val="17"/>
              </w:rPr>
              <w:t>C: Business established and run outside the Region but within NSW</w:t>
            </w:r>
          </w:p>
        </w:tc>
        <w:tc>
          <w:tcPr>
            <w:tcW w:type="dxa" w:w="6520"/>
          </w:tcPr>
          <w:p>
            <w:pPr>
              <w:keepNext/>
              <w:spacing w:after="20"/>
            </w:pPr>
            <w:r/>
            <w:r>
              <w:rPr>
                <w:sz w:val="17"/>
              </w:rPr>
              <w:t>JCE Infrastructure Pty Ltd, 756 Quia Road, Gunnedah NSW 2380; operating since June 2026 (sole-trader practice from March 2024).</w:t>
            </w:r>
          </w:p>
        </w:tc>
      </w:tr>
      <w:tr>
        <w:trPr>
          <w:cantSplit/>
        </w:trPr>
        <w:tc>
          <w:tcPr>
            <w:tcW w:type="dxa" w:w="3118"/>
          </w:tcPr>
          <w:p>
            <w:pPr>
              <w:spacing w:after="20"/>
            </w:pPr>
            <w:r/>
            <w:r>
              <w:rPr>
                <w:sz w:val="17"/>
              </w:rPr>
              <w:t>Regional content</w:t>
            </w:r>
          </w:p>
        </w:tc>
        <w:tc>
          <w:tcPr>
            <w:tcW w:type="dxa" w:w="6520"/>
          </w:tcPr>
          <w:p>
            <w:pPr>
              <w:spacing w:after="20"/>
            </w:pPr>
            <w:r/>
            <w:r>
              <w:rPr>
                <w:sz w:val="17"/>
              </w:rPr>
              <w:t>Resident CQA technicians, NATA soils laboratory and check surveyor proposed from Wagga Wagga: [Riverina CQA partner, TBC - Jayden from RFQ]. Most site hours and testing spend delivered by people living locally. JCE site visits use local accommodation. [TBC - Jayden: partner to confirm which staff live within Bland, Coolamon, Cootamundra-Gundagai, Greater Hume, Junee, Lockhart or Temora LGAs; Wagga Wagga LGA is not in the Form 8 list (RFI 6).]</w:t>
            </w:r>
          </w:p>
        </w:tc>
      </w:tr>
    </w:tbl>
    <w:p>
      <w:pPr>
        <w:spacing w:after="40"/>
      </w:pPr>
    </w:p>
    <w:p>
      <w:pPr>
        <w:pStyle w:val="Heading1"/>
        <w:pBdr>
          <w:bottom w:val="single" w:sz="6" w:space="1" w:color="C9A227"/>
        </w:pBdr>
      </w:pPr>
      <w:r>
        <w:t>Form 9: Statement of Departures</w:t>
      </w:r>
    </w:p>
    <w:p>
      <w:r>
        <w:rPr>
          <w:i w:val="0"/>
        </w:rPr>
        <w:t>Option selected: I/We accept and make this offer in accordance with all clauses, conditions and requirements apart from the items below. [Jayden to tick the second box.]</w:t>
      </w:r>
    </w:p>
    <w:tbl>
      <w:tblPr>
        <w:tblStyle w:val="TableGrid"/>
        <w:tblW w:type="dxa" w:w="9639"/>
        <w:jc w:val="center"/>
        <w:tblLayout w:type="fixed"/>
        <w:tblLook w:firstColumn="1" w:firstRow="1" w:lastColumn="0" w:lastRow="0" w:noHBand="0" w:noVBand="1" w:val="04A0"/>
        <w:tblLayout w:type="fixed"/>
      </w:tblPr>
      <w:tblGrid>
        <w:gridCol w:w="1701"/>
        <w:gridCol w:w="2835"/>
        <w:gridCol w:w="3288"/>
        <w:gridCol w:w="1814"/>
      </w:tblGrid>
      <w:tr>
        <w:trPr>
          <w:tblHeader/>
          <w:cantSplit/>
        </w:trPr>
        <w:tc>
          <w:tcPr>
            <w:tcW w:type="dxa" w:w="1701"/>
            <w:shd w:val="clear" w:color="auto" w:fill="C9A227"/>
          </w:tcPr>
          <w:p>
            <w:pPr>
              <w:keepNext/>
            </w:pPr>
            <w:r/>
            <w:r>
              <w:rPr>
                <w:b/>
                <w:color w:val="000000"/>
                <w:sz w:val="16"/>
              </w:rPr>
              <w:t>Clause</w:t>
            </w:r>
          </w:p>
        </w:tc>
        <w:tc>
          <w:tcPr>
            <w:tcW w:type="dxa" w:w="2835"/>
            <w:shd w:val="clear" w:color="auto" w:fill="C9A227"/>
          </w:tcPr>
          <w:p>
            <w:pPr>
              <w:keepNext/>
            </w:pPr>
            <w:r/>
            <w:r>
              <w:rPr>
                <w:b/>
                <w:color w:val="000000"/>
                <w:sz w:val="16"/>
              </w:rPr>
              <w:t>Qualification</w:t>
            </w:r>
          </w:p>
        </w:tc>
        <w:tc>
          <w:tcPr>
            <w:tcW w:type="dxa" w:w="3288"/>
            <w:shd w:val="clear" w:color="auto" w:fill="C9A227"/>
          </w:tcPr>
          <w:p>
            <w:pPr>
              <w:keepNext/>
            </w:pPr>
            <w:r/>
            <w:r>
              <w:rPr>
                <w:b/>
                <w:color w:val="000000"/>
                <w:sz w:val="16"/>
              </w:rPr>
              <w:t>Reason and value to Council</w:t>
            </w:r>
          </w:p>
        </w:tc>
        <w:tc>
          <w:tcPr>
            <w:tcW w:type="dxa" w:w="1814"/>
            <w:shd w:val="clear" w:color="auto" w:fill="C9A227"/>
          </w:tcPr>
          <w:p>
            <w:pPr>
              <w:keepNext/>
            </w:pPr>
            <w:r/>
            <w:r>
              <w:rPr>
                <w:b/>
                <w:color w:val="000000"/>
                <w:sz w:val="16"/>
              </w:rPr>
              <w:t>Cost to remove</w:t>
            </w:r>
          </w:p>
        </w:tc>
      </w:tr>
      <w:tr>
        <w:trPr>
          <w:cantSplit/>
        </w:trPr>
        <w:tc>
          <w:tcPr>
            <w:tcW w:type="dxa" w:w="1701"/>
          </w:tcPr>
          <w:p>
            <w:pPr>
              <w:keepNext/>
              <w:spacing w:after="20"/>
            </w:pPr>
            <w:r/>
            <w:r>
              <w:rPr>
                <w:sz w:val="16"/>
              </w:rPr>
              <w:t>Part D 1.6; B2 items 3A and 7A</w:t>
            </w:r>
          </w:p>
        </w:tc>
        <w:tc>
          <w:tcPr>
            <w:tcW w:type="dxa" w:w="2835"/>
          </w:tcPr>
          <w:p>
            <w:pPr>
              <w:keepNext/>
              <w:spacing w:after="20"/>
            </w:pPr>
            <w:r/>
            <w:r>
              <w:rPr>
                <w:sz w:val="16"/>
              </w:rPr>
              <w:t>Provisional sums PS1 to PS7 are claimed only to the extent used at the tendered rates.</w:t>
            </w:r>
          </w:p>
        </w:tc>
        <w:tc>
          <w:tcPr>
            <w:tcW w:type="dxa" w:w="3288"/>
          </w:tcPr>
          <w:p>
            <w:pPr>
              <w:keepNext/>
              <w:spacing w:after="20"/>
            </w:pPr>
            <w:r/>
            <w:r>
              <w:rPr>
                <w:sz w:val="16"/>
              </w:rPr>
              <w:t>Council pays only for technician days, tests and surveys actually needed; transparent if the program or RFI 1 and 2 answers change scope.</w:t>
            </w:r>
          </w:p>
        </w:tc>
        <w:tc>
          <w:tcPr>
            <w:tcW w:type="dxa" w:w="1814"/>
          </w:tcPr>
          <w:p>
            <w:pPr>
              <w:keepNext/>
              <w:spacing w:after="20"/>
            </w:pPr>
            <w:r/>
            <w:r>
              <w:rPr>
                <w:sz w:val="16"/>
              </w:rPr>
              <w:t>Nil: the full amounts are in the lump sum.</w:t>
            </w:r>
          </w:p>
        </w:tc>
      </w:tr>
      <w:tr>
        <w:trPr>
          <w:cantSplit/>
        </w:trPr>
        <w:tc>
          <w:tcPr>
            <w:tcW w:type="dxa" w:w="1701"/>
          </w:tcPr>
          <w:p>
            <w:pPr>
              <w:spacing w:after="20"/>
            </w:pPr>
            <w:r/>
            <w:r>
              <w:rPr>
                <w:sz w:val="16"/>
              </w:rPr>
              <w:t>Part A 5.10.2</w:t>
            </w:r>
          </w:p>
        </w:tc>
        <w:tc>
          <w:tcPr>
            <w:tcW w:type="dxa" w:w="2835"/>
          </w:tcPr>
          <w:p>
            <w:pPr>
              <w:spacing w:after="20"/>
            </w:pPr>
            <w:r/>
            <w:r>
              <w:rPr>
                <w:sz w:val="16"/>
              </w:rPr>
              <w:t>[Only if not resolved - Jayden] Motor vehicle third-party property cover of $20 million.</w:t>
            </w:r>
          </w:p>
        </w:tc>
        <w:tc>
          <w:tcPr>
            <w:tcW w:type="dxa" w:w="3288"/>
          </w:tcPr>
          <w:p>
            <w:pPr>
              <w:spacing w:after="20"/>
            </w:pPr>
            <w:r/>
            <w:r>
              <w:rPr>
                <w:sz w:val="16"/>
              </w:rPr>
              <w:t>[State JCE's current cover and offer to lift on award.]</w:t>
            </w:r>
          </w:p>
        </w:tc>
        <w:tc>
          <w:tcPr>
            <w:tcW w:type="dxa" w:w="1814"/>
          </w:tcPr>
          <w:p>
            <w:pPr>
              <w:spacing w:after="20"/>
            </w:pPr>
            <w:r/>
            <w:r>
              <w:rPr>
                <w:sz w:val="16"/>
              </w:rPr>
              <w:t>[TBC]</w:t>
            </w:r>
          </w:p>
        </w:tc>
      </w:tr>
    </w:tbl>
    <w:p>
      <w:pPr>
        <w:spacing w:after="40"/>
      </w:pPr>
    </w:p>
    <w:p>
      <w:pPr>
        <w:pStyle w:val="Heading1"/>
        <w:pBdr>
          <w:bottom w:val="single" w:sz="6" w:space="1" w:color="C9A227"/>
        </w:pBdr>
      </w:pPr>
      <w:r>
        <w:t>Form 10: WH&amp;S Management System Questionnaire</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Company name / ABN</w:t>
            </w:r>
          </w:p>
        </w:tc>
        <w:tc>
          <w:tcPr>
            <w:tcW w:type="dxa" w:w="7257"/>
          </w:tcPr>
          <w:p>
            <w:r/>
            <w:r>
              <w:rPr>
                <w:sz w:val="18"/>
              </w:rPr>
              <w:t>JCE Infrastructure Pty Ltd / 29 699 165 663</w:t>
            </w:r>
          </w:p>
        </w:tc>
      </w:tr>
      <w:tr>
        <w:trPr>
          <w:cantSplit/>
        </w:trPr>
        <w:tc>
          <w:tcPr>
            <w:tcW w:type="dxa" w:w="2381"/>
            <w:shd w:val="clear" w:color="auto" w:fill="F3EBCF"/>
          </w:tcPr>
          <w:p>
            <w:r/>
            <w:r>
              <w:rPr>
                <w:b/>
                <w:sz w:val="18"/>
              </w:rPr>
              <w:t>Address</w:t>
            </w:r>
          </w:p>
        </w:tc>
        <w:tc>
          <w:tcPr>
            <w:tcW w:type="dxa" w:w="7257"/>
          </w:tcPr>
          <w:p>
            <w:r/>
            <w:r>
              <w:rPr>
                <w:sz w:val="18"/>
              </w:rPr>
              <w:t>756 Quia Road, Gunnedah NSW 2380</w:t>
            </w:r>
          </w:p>
        </w:tc>
      </w:tr>
      <w:tr>
        <w:trPr>
          <w:cantSplit/>
        </w:trPr>
        <w:tc>
          <w:tcPr>
            <w:tcW w:type="dxa" w:w="2381"/>
            <w:shd w:val="clear" w:color="auto" w:fill="F3EBCF"/>
          </w:tcPr>
          <w:p>
            <w:r/>
            <w:r>
              <w:rPr>
                <w:b/>
                <w:sz w:val="18"/>
              </w:rPr>
              <w:t>Completed by / position</w:t>
            </w:r>
          </w:p>
        </w:tc>
        <w:tc>
          <w:tcPr>
            <w:tcW w:type="dxa" w:w="7257"/>
          </w:tcPr>
          <w:p>
            <w:r/>
            <w:r>
              <w:rPr>
                <w:sz w:val="18"/>
              </w:rPr>
              <w:t>Jayden Callen, Director   ·   Signature [signature]   ·   Date [TBC]</w:t>
            </w:r>
          </w:p>
        </w:tc>
      </w:tr>
    </w:tbl>
    <w:p>
      <w:pPr>
        <w:spacing w:after="40"/>
      </w:pPr>
    </w:p>
    <w:tbl>
      <w:tblPr>
        <w:tblStyle w:val="TableGrid"/>
        <w:tblW w:type="dxa" w:w="9639"/>
        <w:jc w:val="center"/>
        <w:tblLayout w:type="fixed"/>
        <w:tblLook w:firstColumn="1" w:firstRow="1" w:lastColumn="0" w:lastRow="0" w:noHBand="0" w:noVBand="1" w:val="04A0"/>
        <w:tblLayout w:type="fixed"/>
      </w:tblPr>
      <w:tblGrid>
        <w:gridCol w:w="3118"/>
        <w:gridCol w:w="6520"/>
      </w:tblGrid>
      <w:tr>
        <w:trPr>
          <w:tblHeader/>
          <w:cantSplit/>
        </w:trPr>
        <w:tc>
          <w:tcPr>
            <w:tcW w:type="dxa" w:w="3118"/>
            <w:shd w:val="clear" w:color="auto" w:fill="C9A227"/>
          </w:tcPr>
          <w:p>
            <w:r/>
            <w:r>
              <w:rPr>
                <w:b/>
                <w:color w:val="000000"/>
                <w:sz w:val="16"/>
              </w:rPr>
              <w:t>Question</w:t>
            </w:r>
          </w:p>
        </w:tc>
        <w:tc>
          <w:tcPr>
            <w:tcW w:type="dxa" w:w="6520"/>
            <w:shd w:val="clear" w:color="auto" w:fill="C9A227"/>
          </w:tcPr>
          <w:p>
            <w:r/>
            <w:r>
              <w:rPr>
                <w:b/>
                <w:color w:val="000000"/>
                <w:sz w:val="16"/>
              </w:rPr>
              <w:t>Answer</w:t>
            </w:r>
          </w:p>
        </w:tc>
      </w:tr>
      <w:tr>
        <w:trPr>
          <w:cantSplit/>
        </w:trPr>
        <w:tc>
          <w:tcPr>
            <w:tcW w:type="dxa" w:w="3118"/>
          </w:tcPr>
          <w:p>
            <w:pPr>
              <w:spacing w:after="20"/>
            </w:pPr>
            <w:r/>
            <w:r>
              <w:rPr>
                <w:sz w:val="16"/>
              </w:rPr>
              <w:t>Policy 1. Written WHS policy?</w:t>
            </w:r>
          </w:p>
        </w:tc>
        <w:tc>
          <w:tcPr>
            <w:tcW w:type="dxa" w:w="6520"/>
          </w:tcPr>
          <w:p>
            <w:pPr>
              <w:spacing w:after="20"/>
            </w:pPr>
            <w:r/>
            <w:r>
              <w:rPr>
                <w:sz w:val="16"/>
              </w:rPr>
              <w:t>Yes. JCE-WHS-POL-001 (attached).</w:t>
            </w:r>
          </w:p>
        </w:tc>
      </w:tr>
      <w:tr>
        <w:trPr>
          <w:cantSplit/>
        </w:trPr>
        <w:tc>
          <w:tcPr>
            <w:tcW w:type="dxa" w:w="3118"/>
          </w:tcPr>
          <w:p>
            <w:pPr>
              <w:spacing w:after="20"/>
            </w:pPr>
            <w:r/>
            <w:r>
              <w:rPr>
                <w:sz w:val="16"/>
              </w:rPr>
              <w:t>Policy 2. WHS management system?</w:t>
            </w:r>
          </w:p>
        </w:tc>
        <w:tc>
          <w:tcPr>
            <w:tcW w:type="dxa" w:w="6520"/>
          </w:tcPr>
          <w:p>
            <w:pPr>
              <w:spacing w:after="20"/>
            </w:pPr>
            <w:r/>
            <w:r>
              <w:rPr>
                <w:sz w:val="16"/>
              </w:rPr>
              <w:t>Yes. JCE WHS Management System, 31 controlled documents, adopted 22/06/2026 (contents page attached).</w:t>
            </w:r>
          </w:p>
        </w:tc>
      </w:tr>
      <w:tr>
        <w:trPr>
          <w:cantSplit/>
        </w:trPr>
        <w:tc>
          <w:tcPr>
            <w:tcW w:type="dxa" w:w="3118"/>
          </w:tcPr>
          <w:p>
            <w:pPr>
              <w:spacing w:after="20"/>
            </w:pPr>
            <w:r/>
            <w:r>
              <w:rPr>
                <w:sz w:val="16"/>
              </w:rPr>
              <w:t>Policy 3. Certified (e.g. AS 4801)?</w:t>
            </w:r>
          </w:p>
        </w:tc>
        <w:tc>
          <w:tcPr>
            <w:tcW w:type="dxa" w:w="6520"/>
          </w:tcPr>
          <w:p>
            <w:pPr>
              <w:spacing w:after="20"/>
            </w:pPr>
            <w:r/>
            <w:r>
              <w:rPr>
                <w:sz w:val="16"/>
              </w:rPr>
              <w:t>No. Not third-party certified.</w:t>
            </w:r>
          </w:p>
        </w:tc>
      </w:tr>
      <w:tr>
        <w:trPr>
          <w:cantSplit/>
        </w:trPr>
        <w:tc>
          <w:tcPr>
            <w:tcW w:type="dxa" w:w="3118"/>
          </w:tcPr>
          <w:p>
            <w:pPr>
              <w:spacing w:after="20"/>
            </w:pPr>
            <w:r/>
            <w:r>
              <w:rPr>
                <w:sz w:val="16"/>
              </w:rPr>
              <w:t>Policy 4. WHS responsibilities identified?</w:t>
            </w:r>
          </w:p>
        </w:tc>
        <w:tc>
          <w:tcPr>
            <w:tcW w:type="dxa" w:w="6520"/>
          </w:tcPr>
          <w:p>
            <w:pPr>
              <w:spacing w:after="20"/>
            </w:pPr>
            <w:r/>
            <w:r>
              <w:rPr>
                <w:sz w:val="16"/>
              </w:rPr>
              <w:t>Yes. WHS Management Plan JCE-WHS-PLN-001: the Director holds all WHS responsibilities as sole director; worker and subconsultant duties in PRO-008 and PRO-009.</w:t>
            </w:r>
          </w:p>
        </w:tc>
      </w:tr>
      <w:tr>
        <w:trPr>
          <w:cantSplit/>
        </w:trPr>
        <w:tc>
          <w:tcPr>
            <w:tcW w:type="dxa" w:w="3118"/>
          </w:tcPr>
          <w:p>
            <w:pPr>
              <w:spacing w:after="20"/>
            </w:pPr>
            <w:r/>
            <w:r>
              <w:rPr>
                <w:sz w:val="16"/>
              </w:rPr>
              <w:t>Policy 5. Written CoR policy?</w:t>
            </w:r>
          </w:p>
        </w:tc>
        <w:tc>
          <w:tcPr>
            <w:tcW w:type="dxa" w:w="6520"/>
          </w:tcPr>
          <w:p>
            <w:pPr>
              <w:spacing w:after="20"/>
            </w:pPr>
            <w:r/>
            <w:r>
              <w:rPr>
                <w:sz w:val="16"/>
              </w:rPr>
              <w:t>[TBC - Jayden] JCE-WHS-POL-004 Driving and Vehicle Safety and POL-005 Fatigue Management cover vehicle use; no separate CoR policy. JCE does not transport goods other than test samples.</w:t>
            </w:r>
          </w:p>
        </w:tc>
      </w:tr>
      <w:tr>
        <w:trPr>
          <w:cantSplit/>
        </w:trPr>
        <w:tc>
          <w:tcPr>
            <w:tcW w:type="dxa" w:w="3118"/>
          </w:tcPr>
          <w:p>
            <w:pPr>
              <w:spacing w:after="20"/>
            </w:pPr>
            <w:r/>
            <w:r>
              <w:rPr>
                <w:sz w:val="16"/>
              </w:rPr>
              <w:t>Policy 6 to 8. CoR system, certification, responsibilities</w:t>
            </w:r>
          </w:p>
        </w:tc>
        <w:tc>
          <w:tcPr>
            <w:tcW w:type="dxa" w:w="6520"/>
          </w:tcPr>
          <w:p>
            <w:pPr>
              <w:spacing w:after="20"/>
            </w:pPr>
            <w:r/>
            <w:r>
              <w:rPr>
                <w:sz w:val="16"/>
              </w:rPr>
              <w:t>No separate CoR safety management system or certification [TBC - Jayden].</w:t>
            </w:r>
          </w:p>
        </w:tc>
      </w:tr>
      <w:tr>
        <w:trPr>
          <w:cantSplit/>
        </w:trPr>
        <w:tc>
          <w:tcPr>
            <w:tcW w:type="dxa" w:w="3118"/>
          </w:tcPr>
          <w:p>
            <w:pPr>
              <w:spacing w:after="20"/>
            </w:pPr>
            <w:r/>
            <w:r>
              <w:rPr>
                <w:sz w:val="16"/>
              </w:rPr>
              <w:t>Practices 1. SWMS for high-risk tasks?</w:t>
            </w:r>
          </w:p>
        </w:tc>
        <w:tc>
          <w:tcPr>
            <w:tcW w:type="dxa" w:w="6520"/>
          </w:tcPr>
          <w:p>
            <w:pPr>
              <w:spacing w:after="20"/>
            </w:pPr>
            <w:r/>
            <w:r>
              <w:rPr>
                <w:sz w:val="16"/>
              </w:rPr>
              <w:t>Yes. JCE-WHS-SWMS-001 template; site-specific SWMS will be prepared (attached).</w:t>
            </w:r>
          </w:p>
        </w:tc>
      </w:tr>
      <w:tr>
        <w:trPr>
          <w:cantSplit/>
        </w:trPr>
        <w:tc>
          <w:tcPr>
            <w:tcW w:type="dxa" w:w="3118"/>
          </w:tcPr>
          <w:p>
            <w:pPr>
              <w:spacing w:after="20"/>
            </w:pPr>
            <w:r/>
            <w:r>
              <w:rPr>
                <w:sz w:val="16"/>
              </w:rPr>
              <w:t>Practices 2. Incident reporting procedure?</w:t>
            </w:r>
          </w:p>
        </w:tc>
        <w:tc>
          <w:tcPr>
            <w:tcW w:type="dxa" w:w="6520"/>
          </w:tcPr>
          <w:p>
            <w:pPr>
              <w:spacing w:after="20"/>
            </w:pPr>
            <w:r/>
            <w:r>
              <w:rPr>
                <w:sz w:val="16"/>
              </w:rPr>
              <w:t>Yes. JCE-WHS-PRO-003 and form JCE-WHS-FRM-001.</w:t>
            </w:r>
          </w:p>
        </w:tc>
      </w:tr>
      <w:tr>
        <w:trPr>
          <w:cantSplit/>
        </w:trPr>
        <w:tc>
          <w:tcPr>
            <w:tcW w:type="dxa" w:w="3118"/>
          </w:tcPr>
          <w:p>
            <w:pPr>
              <w:spacing w:after="20"/>
            </w:pPr>
            <w:r/>
            <w:r>
              <w:rPr>
                <w:sz w:val="16"/>
              </w:rPr>
              <w:t>Practices 3. Plant procedures?</w:t>
            </w:r>
          </w:p>
        </w:tc>
        <w:tc>
          <w:tcPr>
            <w:tcW w:type="dxa" w:w="6520"/>
          </w:tcPr>
          <w:p>
            <w:pPr>
              <w:spacing w:after="20"/>
            </w:pPr>
            <w:r/>
            <w:r>
              <w:rPr>
                <w:sz w:val="16"/>
              </w:rPr>
              <w:t>Not applicable: JCE owns no plant (register to be created if plant is acquired).</w:t>
            </w:r>
          </w:p>
        </w:tc>
      </w:tr>
      <w:tr>
        <w:trPr>
          <w:cantSplit/>
        </w:trPr>
        <w:tc>
          <w:tcPr>
            <w:tcW w:type="dxa" w:w="3118"/>
          </w:tcPr>
          <w:p>
            <w:pPr>
              <w:spacing w:after="20"/>
            </w:pPr>
            <w:r/>
            <w:r>
              <w:rPr>
                <w:sz w:val="16"/>
              </w:rPr>
              <w:t>Practices 4. Hazardous chemicals procedures?</w:t>
            </w:r>
          </w:p>
        </w:tc>
        <w:tc>
          <w:tcPr>
            <w:tcW w:type="dxa" w:w="6520"/>
          </w:tcPr>
          <w:p>
            <w:pPr>
              <w:spacing w:after="20"/>
            </w:pPr>
            <w:r/>
            <w:r>
              <w:rPr>
                <w:sz w:val="16"/>
              </w:rPr>
              <w:t>Not applicable: no hazardous chemicals stored.</w:t>
            </w:r>
          </w:p>
        </w:tc>
      </w:tr>
      <w:tr>
        <w:trPr>
          <w:cantSplit/>
        </w:trPr>
        <w:tc>
          <w:tcPr>
            <w:tcW w:type="dxa" w:w="3118"/>
          </w:tcPr>
          <w:p>
            <w:pPr>
              <w:spacing w:after="20"/>
            </w:pPr>
            <w:r/>
            <w:r>
              <w:rPr>
                <w:sz w:val="16"/>
              </w:rPr>
              <w:t>Practices 5. Hazardous manual tasks?</w:t>
            </w:r>
          </w:p>
        </w:tc>
        <w:tc>
          <w:tcPr>
            <w:tcW w:type="dxa" w:w="6520"/>
          </w:tcPr>
          <w:p>
            <w:pPr>
              <w:spacing w:after="20"/>
            </w:pPr>
            <w:r/>
            <w:r>
              <w:rPr>
                <w:sz w:val="16"/>
              </w:rPr>
              <w:t>Yes. Hazard Identification and Risk Management Procedure JCE-WHS-PRO-002 and Take-5 FRM-002.</w:t>
            </w:r>
          </w:p>
        </w:tc>
      </w:tr>
      <w:tr>
        <w:trPr>
          <w:cantSplit/>
        </w:trPr>
        <w:tc>
          <w:tcPr>
            <w:tcW w:type="dxa" w:w="3118"/>
          </w:tcPr>
          <w:p>
            <w:pPr>
              <w:spacing w:after="20"/>
            </w:pPr>
            <w:r/>
            <w:r>
              <w:rPr>
                <w:sz w:val="16"/>
              </w:rPr>
              <w:t>Practices 6. Permit to work?</w:t>
            </w:r>
          </w:p>
        </w:tc>
        <w:tc>
          <w:tcPr>
            <w:tcW w:type="dxa" w:w="6520"/>
          </w:tcPr>
          <w:p>
            <w:pPr>
              <w:spacing w:after="20"/>
            </w:pPr>
            <w:r/>
            <w:r>
              <w:rPr>
                <w:sz w:val="16"/>
              </w:rPr>
              <w:t>No. JCE works under the Contractor's permit systems on site.</w:t>
            </w:r>
          </w:p>
        </w:tc>
      </w:tr>
      <w:tr>
        <w:trPr>
          <w:cantSplit/>
        </w:trPr>
        <w:tc>
          <w:tcPr>
            <w:tcW w:type="dxa" w:w="3118"/>
          </w:tcPr>
          <w:p>
            <w:pPr>
              <w:spacing w:after="20"/>
            </w:pPr>
            <w:r/>
            <w:r>
              <w:rPr>
                <w:sz w:val="16"/>
              </w:rPr>
              <w:t>Training 1 to 3</w:t>
            </w:r>
          </w:p>
        </w:tc>
        <w:tc>
          <w:tcPr>
            <w:tcW w:type="dxa" w:w="6520"/>
          </w:tcPr>
          <w:p>
            <w:pPr>
              <w:spacing w:after="20"/>
            </w:pPr>
            <w:r/>
            <w:r>
              <w:rPr>
                <w:sz w:val="16"/>
              </w:rPr>
              <w:t>Yes. Training and Competency Register JCE-WHS-REG-003; Worker WHS Induction JCE-WHS-PRO-008; all subconsultants inducted under PRO-009.</w:t>
            </w:r>
          </w:p>
        </w:tc>
      </w:tr>
      <w:tr>
        <w:trPr>
          <w:cantSplit/>
        </w:trPr>
        <w:tc>
          <w:tcPr>
            <w:tcW w:type="dxa" w:w="3118"/>
          </w:tcPr>
          <w:p>
            <w:pPr>
              <w:spacing w:after="20"/>
            </w:pPr>
            <w:r/>
            <w:r>
              <w:rPr>
                <w:sz w:val="16"/>
              </w:rPr>
              <w:t>Inspections 1 and 2</w:t>
            </w:r>
          </w:p>
        </w:tc>
        <w:tc>
          <w:tcPr>
            <w:tcW w:type="dxa" w:w="6520"/>
          </w:tcPr>
          <w:p>
            <w:pPr>
              <w:spacing w:after="20"/>
            </w:pPr>
            <w:r/>
            <w:r>
              <w:rPr>
                <w:sz w:val="16"/>
              </w:rPr>
              <w:t>Yes. Site Inspection / Site Entry Procedure JCE-WHS-PRO-005 and Take-5; hazards reported on FRM-001.</w:t>
            </w:r>
          </w:p>
        </w:tc>
      </w:tr>
      <w:tr>
        <w:trPr>
          <w:cantSplit/>
        </w:trPr>
        <w:tc>
          <w:tcPr>
            <w:tcW w:type="dxa" w:w="3118"/>
          </w:tcPr>
          <w:p>
            <w:pPr>
              <w:spacing w:after="20"/>
            </w:pPr>
            <w:r/>
            <w:r>
              <w:rPr>
                <w:sz w:val="16"/>
              </w:rPr>
              <w:t>Consultation 1 to 4</w:t>
            </w:r>
          </w:p>
        </w:tc>
        <w:tc>
          <w:tcPr>
            <w:tcW w:type="dxa" w:w="6520"/>
          </w:tcPr>
          <w:p>
            <w:pPr>
              <w:spacing w:after="20"/>
            </w:pPr>
            <w:r/>
            <w:r>
              <w:rPr>
                <w:sz w:val="16"/>
              </w:rPr>
              <w:t>No HSC or HSRs (sole director, no employees). Consultation, Cooperation and Coordination Procedure JCE-WHS-PRO-001 covers subconsultants and principal contractors through pre-starts and toolbox discussions.</w:t>
            </w:r>
          </w:p>
        </w:tc>
      </w:tr>
      <w:tr>
        <w:trPr>
          <w:cantSplit/>
        </w:trPr>
        <w:tc>
          <w:tcPr>
            <w:tcW w:type="dxa" w:w="3118"/>
          </w:tcPr>
          <w:p>
            <w:pPr>
              <w:spacing w:after="20"/>
            </w:pPr>
            <w:r/>
            <w:r>
              <w:rPr>
                <w:sz w:val="16"/>
              </w:rPr>
              <w:t>Performance 1 and 2</w:t>
            </w:r>
          </w:p>
        </w:tc>
        <w:tc>
          <w:tcPr>
            <w:tcW w:type="dxa" w:w="6520"/>
          </w:tcPr>
          <w:p>
            <w:pPr>
              <w:spacing w:after="20"/>
            </w:pPr>
            <w:r/>
            <w:r>
              <w:rPr>
                <w:sz w:val="16"/>
              </w:rPr>
              <w:t>Yes. Incident Register JCE-WHS-REG-002. Last 6 months: [TBC - Jayden, expected nil incidents].</w:t>
            </w:r>
          </w:p>
        </w:tc>
      </w:tr>
      <w:tr>
        <w:trPr>
          <w:cantSplit/>
        </w:trPr>
        <w:tc>
          <w:tcPr>
            <w:tcW w:type="dxa" w:w="3118"/>
          </w:tcPr>
          <w:p>
            <w:pPr>
              <w:spacing w:after="20"/>
            </w:pPr>
            <w:r/>
            <w:r>
              <w:rPr>
                <w:sz w:val="16"/>
              </w:rPr>
              <w:t>Performance 3. Convictions or notices?</w:t>
            </w:r>
          </w:p>
        </w:tc>
        <w:tc>
          <w:tcPr>
            <w:tcW w:type="dxa" w:w="6520"/>
          </w:tcPr>
          <w:p>
            <w:pPr>
              <w:spacing w:after="20"/>
            </w:pPr>
            <w:r/>
            <w:r>
              <w:rPr>
                <w:sz w:val="16"/>
              </w:rPr>
              <w:t>No [Jayden to confirm].</w:t>
            </w:r>
          </w:p>
        </w:tc>
      </w:tr>
      <w:tr>
        <w:trPr>
          <w:cantSplit/>
        </w:trPr>
        <w:tc>
          <w:tcPr>
            <w:tcW w:type="dxa" w:w="3118"/>
          </w:tcPr>
          <w:p>
            <w:pPr>
              <w:spacing w:after="20"/>
            </w:pPr>
            <w:r/>
            <w:r>
              <w:rPr>
                <w:sz w:val="16"/>
              </w:rPr>
              <w:t>Activity classification (tick)</w:t>
            </w:r>
          </w:p>
        </w:tc>
        <w:tc>
          <w:tcPr>
            <w:tcW w:type="dxa" w:w="6520"/>
          </w:tcPr>
          <w:p>
            <w:pPr>
              <w:spacing w:after="20"/>
            </w:pPr>
            <w:r/>
            <w:r>
              <w:rPr>
                <w:sz w:val="16"/>
              </w:rPr>
              <w:t>Construction work; trenching and excavation (inspection near); hazardous materials/asbestos (Monocell M1.1 area); work near mobile plant; working alone (lone and remote worker procedure PRO-006).</w:t>
            </w:r>
          </w:p>
        </w:tc>
      </w:tr>
    </w:tbl>
    <w:p>
      <w:pPr>
        <w:spacing w:after="40"/>
      </w:pPr>
    </w:p>
    <w:p>
      <w:r>
        <w:rPr>
          <w:i w:val="0"/>
        </w:rPr>
        <w:t>Company references (three most recent contracts):</w:t>
      </w:r>
    </w:p>
    <w:tbl>
      <w:tblPr>
        <w:tblStyle w:val="TableGrid"/>
        <w:tblW w:type="dxa" w:w="9639"/>
        <w:jc w:val="center"/>
        <w:tblLayout w:type="fixed"/>
        <w:tblLook w:firstColumn="1" w:firstRow="1" w:lastColumn="0" w:lastRow="0" w:noHBand="0" w:noVBand="1" w:val="04A0"/>
        <w:tblLayout w:type="fixed"/>
      </w:tblPr>
      <w:tblGrid>
        <w:gridCol w:w="1814"/>
        <w:gridCol w:w="2608"/>
        <w:gridCol w:w="2608"/>
        <w:gridCol w:w="2608"/>
      </w:tblGrid>
      <w:tr>
        <w:trPr>
          <w:tblHeader/>
          <w:cantSplit/>
        </w:trPr>
        <w:tc>
          <w:tcPr>
            <w:tcW w:type="dxa" w:w="1814"/>
            <w:shd w:val="clear" w:color="auto" w:fill="C9A227"/>
          </w:tcPr>
          <w:p>
            <w:pPr>
              <w:keepNext/>
            </w:pPr>
            <w:r/>
            <w:r>
              <w:rPr>
                <w:b/>
                <w:color w:val="000000"/>
                <w:sz w:val="16"/>
              </w:rPr>
            </w:r>
          </w:p>
        </w:tc>
        <w:tc>
          <w:tcPr>
            <w:tcW w:type="dxa" w:w="2608"/>
            <w:shd w:val="clear" w:color="auto" w:fill="C9A227"/>
          </w:tcPr>
          <w:p>
            <w:pPr>
              <w:keepNext/>
            </w:pPr>
            <w:r/>
            <w:r>
              <w:rPr>
                <w:b/>
                <w:color w:val="000000"/>
                <w:sz w:val="16"/>
              </w:rPr>
              <w:t>Contract 1</w:t>
            </w:r>
          </w:p>
        </w:tc>
        <w:tc>
          <w:tcPr>
            <w:tcW w:type="dxa" w:w="2608"/>
            <w:shd w:val="clear" w:color="auto" w:fill="C9A227"/>
          </w:tcPr>
          <w:p>
            <w:pPr>
              <w:keepNext/>
            </w:pPr>
            <w:r/>
            <w:r>
              <w:rPr>
                <w:b/>
                <w:color w:val="000000"/>
                <w:sz w:val="16"/>
              </w:rPr>
              <w:t>Contract 2</w:t>
            </w:r>
          </w:p>
        </w:tc>
        <w:tc>
          <w:tcPr>
            <w:tcW w:type="dxa" w:w="2608"/>
            <w:shd w:val="clear" w:color="auto" w:fill="C9A227"/>
          </w:tcPr>
          <w:p>
            <w:pPr>
              <w:keepNext/>
            </w:pPr>
            <w:r/>
            <w:r>
              <w:rPr>
                <w:b/>
                <w:color w:val="000000"/>
                <w:sz w:val="16"/>
              </w:rPr>
              <w:t>Contract 3</w:t>
            </w:r>
          </w:p>
        </w:tc>
      </w:tr>
      <w:tr>
        <w:trPr>
          <w:cantSplit/>
        </w:trPr>
        <w:tc>
          <w:tcPr>
            <w:tcW w:type="dxa" w:w="1814"/>
          </w:tcPr>
          <w:p>
            <w:pPr>
              <w:keepNext/>
              <w:spacing w:after="20"/>
            </w:pPr>
            <w:r/>
            <w:r>
              <w:rPr>
                <w:sz w:val="16"/>
              </w:rPr>
              <w:t>Description</w:t>
            </w:r>
          </w:p>
        </w:tc>
        <w:tc>
          <w:tcPr>
            <w:tcW w:type="dxa" w:w="2608"/>
          </w:tcPr>
          <w:p>
            <w:pPr>
              <w:keepNext/>
              <w:spacing w:after="20"/>
            </w:pPr>
            <w:r/>
            <w:r>
              <w:rPr>
                <w:sz w:val="16"/>
              </w:rPr>
              <w:t>WSIA Business Precinct Stage One SRM-01 rising main design and SPS package review</w:t>
            </w:r>
          </w:p>
        </w:tc>
        <w:tc>
          <w:tcPr>
            <w:tcW w:type="dxa" w:w="2608"/>
          </w:tcPr>
          <w:p>
            <w:pPr>
              <w:keepNext/>
              <w:spacing w:after="20"/>
            </w:pPr>
            <w:r/>
            <w:r>
              <w:rPr>
                <w:sz w:val="16"/>
              </w:rPr>
              <w:t>Clarence Village, 95 Armidale Street, South Grafton: civil design and certification</w:t>
            </w:r>
          </w:p>
        </w:tc>
        <w:tc>
          <w:tcPr>
            <w:tcW w:type="dxa" w:w="2608"/>
          </w:tcPr>
          <w:p>
            <w:pPr>
              <w:keepNext/>
              <w:spacing w:after="20"/>
            </w:pPr>
            <w:r/>
            <w:r>
              <w:rPr>
                <w:sz w:val="16"/>
              </w:rPr>
              <w:t>Relocatable dwelling footing design service</w:t>
            </w:r>
          </w:p>
        </w:tc>
      </w:tr>
      <w:tr>
        <w:trPr>
          <w:cantSplit/>
        </w:trPr>
        <w:tc>
          <w:tcPr>
            <w:tcW w:type="dxa" w:w="1814"/>
          </w:tcPr>
          <w:p>
            <w:pPr>
              <w:keepNext/>
              <w:spacing w:after="20"/>
            </w:pPr>
            <w:r/>
            <w:r>
              <w:rPr>
                <w:sz w:val="16"/>
              </w:rPr>
              <w:t>Client</w:t>
            </w:r>
          </w:p>
        </w:tc>
        <w:tc>
          <w:tcPr>
            <w:tcW w:type="dxa" w:w="2608"/>
          </w:tcPr>
          <w:p>
            <w:pPr>
              <w:keepNext/>
              <w:spacing w:after="20"/>
            </w:pPr>
            <w:r/>
            <w:r>
              <w:rPr>
                <w:sz w:val="16"/>
              </w:rPr>
              <w:t>Underscore Projects (for AT&amp;L)</w:t>
            </w:r>
          </w:p>
        </w:tc>
        <w:tc>
          <w:tcPr>
            <w:tcW w:type="dxa" w:w="2608"/>
          </w:tcPr>
          <w:p>
            <w:pPr>
              <w:keepNext/>
              <w:spacing w:after="20"/>
            </w:pPr>
            <w:r/>
            <w:r>
              <w:rPr>
                <w:sz w:val="16"/>
              </w:rPr>
              <w:t>Uniplan Group</w:t>
            </w:r>
          </w:p>
        </w:tc>
        <w:tc>
          <w:tcPr>
            <w:tcW w:type="dxa" w:w="2608"/>
          </w:tcPr>
          <w:p>
            <w:pPr>
              <w:keepNext/>
              <w:spacing w:after="20"/>
            </w:pPr>
            <w:r/>
            <w:r>
              <w:rPr>
                <w:sz w:val="16"/>
              </w:rPr>
              <w:t>Uniplan Group</w:t>
            </w:r>
          </w:p>
        </w:tc>
      </w:tr>
      <w:tr>
        <w:trPr>
          <w:cantSplit/>
        </w:trPr>
        <w:tc>
          <w:tcPr>
            <w:tcW w:type="dxa" w:w="1814"/>
          </w:tcPr>
          <w:p>
            <w:pPr>
              <w:keepNext/>
              <w:spacing w:after="20"/>
            </w:pPr>
            <w:r/>
            <w:r>
              <w:rPr>
                <w:sz w:val="16"/>
              </w:rPr>
              <w:t>Contact person / phone</w:t>
            </w:r>
          </w:p>
        </w:tc>
        <w:tc>
          <w:tcPr>
            <w:tcW w:type="dxa" w:w="2608"/>
          </w:tcPr>
          <w:p>
            <w:pPr>
              <w:keepNext/>
              <w:spacing w:after="20"/>
            </w:pPr>
            <w:r/>
            <w:r>
              <w:rPr>
                <w:sz w:val="16"/>
              </w:rPr>
              <w:t>[TBC - Jayden]</w:t>
            </w:r>
          </w:p>
        </w:tc>
        <w:tc>
          <w:tcPr>
            <w:tcW w:type="dxa" w:w="2608"/>
          </w:tcPr>
          <w:p>
            <w:pPr>
              <w:keepNext/>
              <w:spacing w:after="20"/>
            </w:pPr>
            <w:r/>
            <w:r>
              <w:rPr>
                <w:sz w:val="16"/>
              </w:rPr>
              <w:t>[TBC - Jayden]</w:t>
            </w:r>
          </w:p>
        </w:tc>
        <w:tc>
          <w:tcPr>
            <w:tcW w:type="dxa" w:w="2608"/>
          </w:tcPr>
          <w:p>
            <w:pPr>
              <w:keepNext/>
              <w:spacing w:after="20"/>
            </w:pPr>
            <w:r/>
            <w:r>
              <w:rPr>
                <w:sz w:val="16"/>
              </w:rPr>
              <w:t>[TBC - Jayden]</w:t>
            </w:r>
          </w:p>
        </w:tc>
      </w:tr>
      <w:tr>
        <w:trPr>
          <w:cantSplit/>
        </w:trPr>
        <w:tc>
          <w:tcPr>
            <w:tcW w:type="dxa" w:w="1814"/>
          </w:tcPr>
          <w:p>
            <w:pPr>
              <w:keepNext/>
              <w:spacing w:after="20"/>
            </w:pPr>
            <w:r/>
            <w:r>
              <w:rPr>
                <w:sz w:val="16"/>
              </w:rPr>
              <w:t>Lost time injuries</w:t>
            </w:r>
          </w:p>
        </w:tc>
        <w:tc>
          <w:tcPr>
            <w:tcW w:type="dxa" w:w="2608"/>
          </w:tcPr>
          <w:p>
            <w:pPr>
              <w:keepNext/>
              <w:spacing w:after="20"/>
            </w:pPr>
            <w:r/>
            <w:r>
              <w:rPr>
                <w:sz w:val="16"/>
              </w:rPr>
              <w:t>0 [confirm]</w:t>
            </w:r>
          </w:p>
        </w:tc>
        <w:tc>
          <w:tcPr>
            <w:tcW w:type="dxa" w:w="2608"/>
          </w:tcPr>
          <w:p>
            <w:pPr>
              <w:keepNext/>
              <w:spacing w:after="20"/>
            </w:pPr>
            <w:r/>
            <w:r>
              <w:rPr>
                <w:sz w:val="16"/>
              </w:rPr>
              <w:t>0 [confirm]</w:t>
            </w:r>
          </w:p>
        </w:tc>
        <w:tc>
          <w:tcPr>
            <w:tcW w:type="dxa" w:w="2608"/>
          </w:tcPr>
          <w:p>
            <w:pPr>
              <w:keepNext/>
              <w:spacing w:after="20"/>
            </w:pPr>
            <w:r/>
            <w:r>
              <w:rPr>
                <w:sz w:val="16"/>
              </w:rPr>
              <w:t>0 [confirm]</w:t>
            </w:r>
          </w:p>
        </w:tc>
      </w:tr>
      <w:tr>
        <w:trPr>
          <w:cantSplit/>
        </w:trPr>
        <w:tc>
          <w:tcPr>
            <w:tcW w:type="dxa" w:w="1814"/>
          </w:tcPr>
          <w:p>
            <w:pPr>
              <w:keepNext/>
              <w:spacing w:after="20"/>
            </w:pPr>
            <w:r/>
            <w:r>
              <w:rPr>
                <w:sz w:val="16"/>
              </w:rPr>
              <w:t>Person days on contract</w:t>
            </w:r>
          </w:p>
        </w:tc>
        <w:tc>
          <w:tcPr>
            <w:tcW w:type="dxa" w:w="2608"/>
          </w:tcPr>
          <w:p>
            <w:pPr>
              <w:keepNext/>
              <w:spacing w:after="20"/>
            </w:pPr>
            <w:r/>
            <w:r>
              <w:rPr>
                <w:sz w:val="16"/>
              </w:rPr>
              <w:t>[TBC]</w:t>
            </w:r>
          </w:p>
        </w:tc>
        <w:tc>
          <w:tcPr>
            <w:tcW w:type="dxa" w:w="2608"/>
          </w:tcPr>
          <w:p>
            <w:pPr>
              <w:keepNext/>
              <w:spacing w:after="20"/>
            </w:pPr>
            <w:r/>
            <w:r>
              <w:rPr>
                <w:sz w:val="16"/>
              </w:rPr>
              <w:t>[TBC]</w:t>
            </w:r>
          </w:p>
        </w:tc>
        <w:tc>
          <w:tcPr>
            <w:tcW w:type="dxa" w:w="2608"/>
          </w:tcPr>
          <w:p>
            <w:pPr>
              <w:keepNext/>
              <w:spacing w:after="20"/>
            </w:pPr>
            <w:r/>
            <w:r>
              <w:rPr>
                <w:sz w:val="16"/>
              </w:rPr>
              <w:t>[TBC]</w:t>
            </w:r>
          </w:p>
        </w:tc>
      </w:tr>
      <w:tr>
        <w:trPr>
          <w:cantSplit/>
        </w:trPr>
        <w:tc>
          <w:tcPr>
            <w:tcW w:type="dxa" w:w="1814"/>
          </w:tcPr>
          <w:p>
            <w:pPr>
              <w:spacing w:after="20"/>
            </w:pPr>
            <w:r/>
            <w:r>
              <w:rPr>
                <w:sz w:val="16"/>
              </w:rPr>
              <w:t>Days lost to injuries</w:t>
            </w:r>
          </w:p>
        </w:tc>
        <w:tc>
          <w:tcPr>
            <w:tcW w:type="dxa" w:w="2608"/>
          </w:tcPr>
          <w:p>
            <w:pPr>
              <w:spacing w:after="20"/>
            </w:pPr>
            <w:r/>
            <w:r>
              <w:rPr>
                <w:sz w:val="16"/>
              </w:rPr>
              <w:t>0 [confirm]</w:t>
            </w:r>
          </w:p>
        </w:tc>
        <w:tc>
          <w:tcPr>
            <w:tcW w:type="dxa" w:w="2608"/>
          </w:tcPr>
          <w:p>
            <w:pPr>
              <w:spacing w:after="20"/>
            </w:pPr>
            <w:r/>
            <w:r>
              <w:rPr>
                <w:sz w:val="16"/>
              </w:rPr>
              <w:t>0 [confirm]</w:t>
            </w:r>
          </w:p>
        </w:tc>
        <w:tc>
          <w:tcPr>
            <w:tcW w:type="dxa" w:w="2608"/>
          </w:tcPr>
          <w:p>
            <w:pPr>
              <w:spacing w:after="20"/>
            </w:pPr>
            <w:r/>
            <w:r>
              <w:rPr>
                <w:sz w:val="16"/>
              </w:rPr>
              <w:t>0 [confirm]</w:t>
            </w:r>
          </w:p>
        </w:tc>
      </w:tr>
    </w:tbl>
    <w:p>
      <w:pPr>
        <w:spacing w:after="40"/>
      </w:pPr>
    </w:p>
    <w:p>
      <w:pPr>
        <w:pStyle w:val="Heading1"/>
        <w:pBdr>
          <w:bottom w:val="single" w:sz="6" w:space="1" w:color="C9A227"/>
        </w:pBdr>
      </w:pPr>
      <w:r>
        <w:t>Form 11: Modern Slavery Questionnaire</w:t>
      </w:r>
    </w:p>
    <w:tbl>
      <w:tblPr>
        <w:tblStyle w:val="TableGrid"/>
        <w:tblW w:type="dxa" w:w="9639"/>
        <w:tblLayout w:type="fixed"/>
        <w:tblLook w:firstColumn="1" w:firstRow="1" w:lastColumn="0" w:lastRow="0" w:noHBand="0" w:noVBand="1" w:val="04A0"/>
        <w:tblLayout w:type="fixed"/>
      </w:tblPr>
      <w:tblGrid>
        <w:gridCol w:w="2381"/>
        <w:gridCol w:w="7257"/>
      </w:tblGrid>
      <w:tr>
        <w:trPr>
          <w:cantSplit/>
        </w:trPr>
        <w:tc>
          <w:tcPr>
            <w:tcW w:type="dxa" w:w="2381"/>
            <w:shd w:val="clear" w:color="auto" w:fill="F3EBCF"/>
          </w:tcPr>
          <w:p>
            <w:r/>
            <w:r>
              <w:rPr>
                <w:b/>
                <w:sz w:val="18"/>
              </w:rPr>
              <w:t>Organisation</w:t>
            </w:r>
          </w:p>
        </w:tc>
        <w:tc>
          <w:tcPr>
            <w:tcW w:type="dxa" w:w="7257"/>
          </w:tcPr>
          <w:p>
            <w:r/>
            <w:r>
              <w:rPr>
                <w:sz w:val="18"/>
              </w:rPr>
              <w:t>JCE Infrastructure Pty Ltd, 756 Quia Road, Gunnedah NSW 2380, ABN 29 699 165 663; parent company N/A</w:t>
            </w:r>
          </w:p>
        </w:tc>
      </w:tr>
      <w:tr>
        <w:trPr>
          <w:cantSplit/>
        </w:trPr>
        <w:tc>
          <w:tcPr>
            <w:tcW w:type="dxa" w:w="2381"/>
            <w:shd w:val="clear" w:color="auto" w:fill="F3EBCF"/>
          </w:tcPr>
          <w:p>
            <w:r/>
            <w:r>
              <w:rPr>
                <w:b/>
                <w:sz w:val="18"/>
              </w:rPr>
              <w:t>Contact</w:t>
            </w:r>
          </w:p>
        </w:tc>
        <w:tc>
          <w:tcPr>
            <w:tcW w:type="dxa" w:w="7257"/>
          </w:tcPr>
          <w:p>
            <w:r/>
            <w:r>
              <w:rPr>
                <w:sz w:val="18"/>
              </w:rPr>
              <w:t>Jayden Callen, Director, jayden@jceinfrastructure.com.au, 0477 207 027</w:t>
            </w:r>
          </w:p>
        </w:tc>
      </w:tr>
      <w:tr>
        <w:trPr>
          <w:cantSplit/>
        </w:trPr>
        <w:tc>
          <w:tcPr>
            <w:tcW w:type="dxa" w:w="2381"/>
            <w:shd w:val="clear" w:color="auto" w:fill="F3EBCF"/>
          </w:tcPr>
          <w:p>
            <w:r/>
            <w:r>
              <w:rPr>
                <w:b/>
                <w:sz w:val="18"/>
              </w:rPr>
              <w:t>Date / confirmation</w:t>
            </w:r>
          </w:p>
        </w:tc>
        <w:tc>
          <w:tcPr>
            <w:tcW w:type="dxa" w:w="7257"/>
          </w:tcPr>
          <w:p>
            <w:r/>
            <w:r>
              <w:rPr>
                <w:sz w:val="18"/>
              </w:rPr>
              <w:t>[TBC - Jayden: date and confirm]</w:t>
            </w:r>
          </w:p>
        </w:tc>
      </w:tr>
      <w:tr>
        <w:trPr>
          <w:cantSplit/>
        </w:trPr>
        <w:tc>
          <w:tcPr>
            <w:tcW w:type="dxa" w:w="2381"/>
            <w:shd w:val="clear" w:color="auto" w:fill="F3EBCF"/>
          </w:tcPr>
          <w:p>
            <w:r/>
            <w:r>
              <w:rPr>
                <w:b/>
                <w:sz w:val="18"/>
              </w:rPr>
              <w:t>Reporting under the Modern Slavery Act?</w:t>
            </w:r>
          </w:p>
        </w:tc>
        <w:tc>
          <w:tcPr>
            <w:tcW w:type="dxa" w:w="7257"/>
          </w:tcPr>
          <w:p>
            <w:r/>
            <w:r>
              <w:rPr>
                <w:sz w:val="18"/>
              </w:rPr>
              <w:t>No. JCE is below the $100 million reporting threshold. JCE has a Modern Slavery Policy (JCE-WHS-POL-003), attached.</w:t>
            </w:r>
          </w:p>
        </w:tc>
      </w:tr>
      <w:tr>
        <w:trPr>
          <w:cantSplit/>
        </w:trPr>
        <w:tc>
          <w:tcPr>
            <w:tcW w:type="dxa" w:w="2381"/>
            <w:shd w:val="clear" w:color="auto" w:fill="F3EBCF"/>
          </w:tcPr>
          <w:p>
            <w:r/>
            <w:r>
              <w:rPr>
                <w:b/>
                <w:sz w:val="18"/>
              </w:rPr>
              <w:t>Policies on human rights, ethical sourcing, fair payment?</w:t>
            </w:r>
          </w:p>
        </w:tc>
        <w:tc>
          <w:tcPr>
            <w:tcW w:type="dxa" w:w="7257"/>
          </w:tcPr>
          <w:p>
            <w:r/>
            <w:r>
              <w:rPr>
                <w:sz w:val="18"/>
              </w:rPr>
              <w:t>Yes. Modern Slavery Policy JCE-WHS-POL-003; Subconsultant WHS Management Procedure JCE-WHS-PRO-009.</w:t>
            </w:r>
          </w:p>
        </w:tc>
      </w:tr>
      <w:tr>
        <w:trPr>
          <w:cantSplit/>
        </w:trPr>
        <w:tc>
          <w:tcPr>
            <w:tcW w:type="dxa" w:w="2381"/>
            <w:shd w:val="clear" w:color="auto" w:fill="F3EBCF"/>
          </w:tcPr>
          <w:p>
            <w:r/>
            <w:r>
              <w:rPr>
                <w:b/>
                <w:sz w:val="18"/>
              </w:rPr>
              <w:t>Activities within organisation?</w:t>
            </w:r>
          </w:p>
        </w:tc>
        <w:tc>
          <w:tcPr>
            <w:tcW w:type="dxa" w:w="7257"/>
          </w:tcPr>
          <w:p>
            <w:r/>
            <w:r>
              <w:rPr>
                <w:sz w:val="18"/>
              </w:rPr>
              <w:t>Yes. JCE is a sole-director consultancy with no employees; the policy is reviewed annually.</w:t>
            </w:r>
          </w:p>
        </w:tc>
      </w:tr>
      <w:tr>
        <w:trPr>
          <w:cantSplit/>
        </w:trPr>
        <w:tc>
          <w:tcPr>
            <w:tcW w:type="dxa" w:w="2381"/>
            <w:shd w:val="clear" w:color="auto" w:fill="F3EBCF"/>
          </w:tcPr>
          <w:p>
            <w:r/>
            <w:r>
              <w:rPr>
                <w:b/>
                <w:sz w:val="18"/>
              </w:rPr>
              <w:t>Activities within supply chain?</w:t>
            </w:r>
          </w:p>
        </w:tc>
        <w:tc>
          <w:tcPr>
            <w:tcW w:type="dxa" w:w="7257"/>
          </w:tcPr>
          <w:p>
            <w:r/>
            <w:r>
              <w:rPr>
                <w:sz w:val="18"/>
              </w:rPr>
              <w:t>Yes. Sub-consultants are Australian professional service firms engaged under written terms; modern slavery expectations are set out in JCE's RFQ and engagement terms.</w:t>
            </w:r>
          </w:p>
        </w:tc>
      </w:tr>
      <w:tr>
        <w:trPr>
          <w:cantSplit/>
        </w:trPr>
        <w:tc>
          <w:tcPr>
            <w:tcW w:type="dxa" w:w="2381"/>
            <w:shd w:val="clear" w:color="auto" w:fill="F3EBCF"/>
          </w:tcPr>
          <w:p>
            <w:r/>
            <w:r>
              <w:rPr>
                <w:b/>
                <w:sz w:val="18"/>
              </w:rPr>
              <w:t>Formal supply chain risk assessment?</w:t>
            </w:r>
          </w:p>
        </w:tc>
        <w:tc>
          <w:tcPr>
            <w:tcW w:type="dxa" w:w="7257"/>
          </w:tcPr>
          <w:p>
            <w:r/>
            <w:r>
              <w:rPr>
                <w:sz w:val="18"/>
              </w:rPr>
              <w:t>No formal assessment [TBC - Jayden]; JCE's supply chain is low risk (Australian professional services).</w:t>
            </w:r>
          </w:p>
        </w:tc>
      </w:tr>
      <w:tr>
        <w:trPr>
          <w:cantSplit/>
        </w:trPr>
        <w:tc>
          <w:tcPr>
            <w:tcW w:type="dxa" w:w="2381"/>
            <w:shd w:val="clear" w:color="auto" w:fill="F3EBCF"/>
          </w:tcPr>
          <w:p>
            <w:r/>
            <w:r>
              <w:rPr>
                <w:b/>
                <w:sz w:val="18"/>
              </w:rPr>
              <w:t>Training?</w:t>
            </w:r>
          </w:p>
        </w:tc>
        <w:tc>
          <w:tcPr>
            <w:tcW w:type="dxa" w:w="7257"/>
          </w:tcPr>
          <w:p>
            <w:r/>
            <w:r>
              <w:rPr>
                <w:sz w:val="18"/>
              </w:rPr>
              <w:t>No formal training program [TBC - Jayden].</w:t>
            </w:r>
          </w:p>
        </w:tc>
      </w:tr>
      <w:tr>
        <w:trPr>
          <w:cantSplit/>
        </w:trPr>
        <w:tc>
          <w:tcPr>
            <w:tcW w:type="dxa" w:w="2381"/>
            <w:shd w:val="clear" w:color="auto" w:fill="F3EBCF"/>
          </w:tcPr>
          <w:p>
            <w:r/>
            <w:r>
              <w:rPr>
                <w:b/>
                <w:sz w:val="18"/>
              </w:rPr>
              <w:t>Countries of manufacture</w:t>
            </w:r>
          </w:p>
        </w:tc>
        <w:tc>
          <w:tcPr>
            <w:tcW w:type="dxa" w:w="7257"/>
          </w:tcPr>
          <w:p>
            <w:r/>
            <w:r>
              <w:rPr>
                <w:sz w:val="18"/>
              </w:rPr>
              <w:t>Not applicable: professional services delivered in Australia.</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Part B1 Tender Return Forms   |   CT2027005 GWMC CQA Engineer   |   JCE Infrastructure Pty Ltd (filled, Rev G)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