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DRA Architects</w:t>
            </w:r>
          </w:p>
        </w:tc>
        <w:tc>
          <w:tcPr>
            <w:tcW w:type="dxa" w:w="1701"/>
          </w:tcPr>
          <w:p>
            <w:pPr>
              <w:keepNext/>
            </w:pPr>
            <w:r/>
            <w:r>
              <w:rPr>
                <w:sz w:val="19"/>
              </w:rPr>
              <w:t>Attention</w:t>
            </w:r>
          </w:p>
        </w:tc>
        <w:tc>
          <w:tcPr>
            <w:tcW w:type="dxa" w:w="3175"/>
          </w:tcPr>
          <w:p>
            <w:pPr>
              <w:keepNext/>
            </w:pPr>
            <w:r/>
            <w:r>
              <w:rPr>
                <w:sz w:val="19"/>
              </w:rPr>
              <w:t>Peter Way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Peter,</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