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2"/>
        </w:rPr>
        <w:t>REQUEST FOR QUOTATION</w:t>
      </w:r>
    </w:p>
    <w:p>
      <w:pPr>
        <w:spacing w:after="40"/>
      </w:pPr>
      <w:r>
        <w:rPr>
          <w:b/>
          <w:sz w:val="24"/>
        </w:rPr>
        <w:t>Road network imaging and road condition rating (vehicle-mounted)</w:t>
      </w:r>
    </w:p>
    <w:p>
      <w:pPr>
        <w:spacing w:after="160"/>
      </w:pPr>
      <w:r>
        <w:rPr>
          <w:b w:val="0"/>
          <w:color w:val="555555"/>
          <w:sz w:val="20"/>
        </w:rPr>
        <w:t>Murray River Council tender MRC-2645, Infrastructure Asset Condition Assessments (VendorPanel VP527277)</w:t>
      </w:r>
    </w:p>
    <w:tbl>
      <w:tblPr>
        <w:tblStyle w:val="TableGrid"/>
        <w:tblW w:type="auto" w:w="0"/>
        <w:tblLayout w:type="fixed"/>
        <w:tblLook w:firstColumn="1" w:firstRow="1" w:lastColumn="0" w:lastRow="0" w:noHBand="0" w:noVBand="1" w:val="04A0"/>
      </w:tblPr>
      <w:tblGrid>
        <w:gridCol w:w="2608"/>
        <w:gridCol w:w="7030"/>
      </w:tblGrid>
      <w:tr>
        <w:tc>
          <w:tcPr>
            <w:tcW w:type="dxa" w:w="2608"/>
            <w:shd w:val="clear" w:color="auto" w:fill="E8EEF5"/>
          </w:tcPr>
          <w:p>
            <w:r>
              <w:rPr>
                <w:b/>
                <w:sz w:val="19"/>
              </w:rPr>
              <w:t>To</w:t>
            </w:r>
          </w:p>
        </w:tc>
        <w:tc>
          <w:tcPr>
            <w:tcW w:type="dxa" w:w="7030"/>
          </w:tcPr>
          <w:p>
            <w:r>
              <w:rPr>
                <w:b w:val="0"/>
                <w:sz w:val="19"/>
              </w:rPr>
              <w:t>NTRO (National Transport Research Organisation), Asset survey and data services</w:t>
            </w:r>
          </w:p>
        </w:tc>
      </w:tr>
      <w:tr>
        <w:tc>
          <w:tcPr>
            <w:tcW w:type="dxa" w:w="2608"/>
            <w:shd w:val="clear" w:color="auto" w:fill="E8EEF5"/>
          </w:tcPr>
          <w:p>
            <w:r>
              <w:rPr>
                <w:b/>
                <w:sz w:val="19"/>
              </w:rPr>
              <w:t>From</w:t>
            </w:r>
          </w:p>
        </w:tc>
        <w:tc>
          <w:tcPr>
            <w:tcW w:type="dxa" w:w="7030"/>
          </w:tcPr>
          <w:p>
            <w:r>
              <w:rPr>
                <w:b w:val="0"/>
                <w:sz w:val="19"/>
              </w:rPr>
              <w:t>Jayden Callen, Director, JCE Infrastructure Pty Ltd</w:t>
            </w:r>
          </w:p>
        </w:tc>
      </w:tr>
      <w:tr>
        <w:tc>
          <w:tcPr>
            <w:tcW w:type="dxa" w:w="2608"/>
            <w:shd w:val="clear" w:color="auto" w:fill="E8EEF5"/>
          </w:tcPr>
          <w:p>
            <w:r>
              <w:rPr>
                <w:b/>
                <w:sz w:val="19"/>
              </w:rPr>
              <w:t>Date</w:t>
            </w:r>
          </w:p>
        </w:tc>
        <w:tc>
          <w:tcPr>
            <w:tcW w:type="dxa" w:w="7030"/>
          </w:tcPr>
          <w:p>
            <w:r>
              <w:rPr>
                <w:b w:val="0"/>
                <w:sz w:val="19"/>
              </w:rPr>
              <w:t>12/10/2026</w:t>
            </w:r>
          </w:p>
        </w:tc>
      </w:tr>
      <w:tr>
        <w:tc>
          <w:tcPr>
            <w:tcW w:type="dxa" w:w="2608"/>
            <w:shd w:val="clear" w:color="auto" w:fill="E8EEF5"/>
          </w:tcPr>
          <w:p>
            <w:r>
              <w:rPr>
                <w:b/>
                <w:sz w:val="19"/>
              </w:rPr>
              <w:t>RFQ number</w:t>
            </w:r>
          </w:p>
        </w:tc>
        <w:tc>
          <w:tcPr>
            <w:tcW w:type="dxa" w:w="7030"/>
          </w:tcPr>
          <w:p>
            <w:r>
              <w:rPr>
                <w:b w:val="0"/>
                <w:sz w:val="19"/>
              </w:rPr>
              <w:t>JCE-RFQ-VP527277-01 (Rev C, scope trimmed to vehicle imaging and road rating)</w:t>
            </w:r>
          </w:p>
        </w:tc>
      </w:tr>
      <w:tr>
        <w:tc>
          <w:tcPr>
            <w:tcW w:type="dxa" w:w="2608"/>
            <w:shd w:val="clear" w:color="auto" w:fill="E8EEF5"/>
          </w:tcPr>
          <w:p>
            <w:r>
              <w:rPr>
                <w:b/>
                <w:sz w:val="19"/>
              </w:rPr>
              <w:t>Quote due</w:t>
            </w:r>
          </w:p>
        </w:tc>
        <w:tc>
          <w:tcPr>
            <w:tcW w:type="dxa" w:w="7030"/>
          </w:tcPr>
          <w:p>
            <w:r>
              <w:rPr>
                <w:b/>
                <w:sz w:val="19"/>
              </w:rPr>
              <w:t>12:00 pm, Wednesday 28/10/2026</w:t>
            </w:r>
          </w:p>
        </w:tc>
      </w:tr>
      <w:tr>
        <w:tc>
          <w:tcPr>
            <w:tcW w:type="dxa" w:w="2608"/>
            <w:shd w:val="clear" w:color="auto" w:fill="E8EEF5"/>
          </w:tcPr>
          <w:p>
            <w:r>
              <w:rPr>
                <w:b/>
                <w:sz w:val="19"/>
              </w:rPr>
              <w:t>Tender closes</w:t>
            </w:r>
          </w:p>
        </w:tc>
        <w:tc>
          <w:tcPr>
            <w:tcW w:type="dxa" w:w="7030"/>
          </w:tcPr>
          <w:p>
            <w:r>
              <w:rPr>
                <w:b w:val="0"/>
                <w:sz w:val="19"/>
              </w:rPr>
              <w:t>2:00 pm, Friday 13/11/2026 (Council's VendorPanel close)</w:t>
            </w:r>
          </w:p>
        </w:tc>
      </w:tr>
      <w:tr>
        <w:tc>
          <w:tcPr>
            <w:tcW w:type="dxa" w:w="2608"/>
            <w:shd w:val="clear" w:color="auto" w:fill="E8EEF5"/>
          </w:tcPr>
          <w:p>
            <w:r>
              <w:rPr>
                <w:b/>
                <w:sz w:val="19"/>
              </w:rPr>
              <w:t>Confirm you will quote</w:t>
            </w:r>
          </w:p>
        </w:tc>
        <w:tc>
          <w:tcPr>
            <w:tcW w:type="dxa" w:w="7030"/>
          </w:tcPr>
          <w:p>
            <w:r>
              <w:rPr>
                <w:b w:val="0"/>
                <w:sz w:val="19"/>
              </w:rPr>
              <w:t>By Monday 19/10/2026</w:t>
            </w:r>
          </w:p>
        </w:tc>
      </w:tr>
      <w:tr>
        <w:tc>
          <w:tcPr>
            <w:tcW w:type="dxa" w:w="2608"/>
            <w:shd w:val="clear" w:color="auto" w:fill="E8EEF5"/>
          </w:tcPr>
          <w:p>
            <w:r>
              <w:rPr>
                <w:b/>
                <w:sz w:val="19"/>
              </w:rPr>
              <w:t>Questions to JCE</w:t>
            </w:r>
          </w:p>
        </w:tc>
        <w:tc>
          <w:tcPr>
            <w:tcW w:type="dxa" w:w="7030"/>
          </w:tcPr>
          <w:p>
            <w:r>
              <w:rPr>
                <w:b w:val="0"/>
                <w:sz w:val="19"/>
              </w:rPr>
              <w:t>By 12:00 pm, Wednesday 21/10/2026</w:t>
            </w:r>
          </w:p>
        </w:tc>
      </w:tr>
      <w:tr>
        <w:tc>
          <w:tcPr>
            <w:tcW w:type="dxa" w:w="2608"/>
            <w:shd w:val="clear" w:color="auto" w:fill="E8EEF5"/>
          </w:tcPr>
          <w:p>
            <w:r>
              <w:rPr>
                <w:b/>
                <w:sz w:val="19"/>
              </w:rPr>
              <w:t>Status</w:t>
            </w:r>
          </w:p>
        </w:tc>
        <w:tc>
          <w:tcPr>
            <w:tcW w:type="dxa" w:w="7030"/>
          </w:tcPr>
          <w:p>
            <w:r>
              <w:rPr>
                <w:b w:val="0"/>
                <w:sz w:val="19"/>
              </w:rPr>
              <w:t>Pricing request for a tender. Any engagement depends on JCE winning the contract.</w:t>
            </w:r>
          </w:p>
        </w:tc>
      </w:tr>
    </w:tbl>
    <w:p>
      <w:pPr>
        <w:spacing w:after="0"/>
      </w:pPr>
    </w:p>
    <w:p>
      <w:r>
        <w:rPr>
          <w:b w:val="0"/>
        </w:rPr>
        <w:t>Dear NTRO team,</w:t>
      </w:r>
    </w:p>
    <w:p>
      <w:r>
        <w:rPr>
          <w:b w:val="0"/>
        </w:rPr>
        <w:t>JCE invites you to quote for vehicle-mounted geo-referenced imaging of Murray River Council's road network, including the roadside on both sides, and for condition rating of the sealed and unsealed roads, as JCE's road imaging partner in its tender for MRC-2645. JCE will rate the other asset classes from your imagery and its own drone capture, and will build the GIS layers and asset register.</w:t>
      </w:r>
    </w:p>
    <w:p>
      <w:pPr>
        <w:keepNext/>
        <w:spacing w:before="200"/>
      </w:pPr>
      <w:r>
        <w:rPr>
          <w:b/>
          <w:color w:val="1F3A5F"/>
          <w:sz w:val="23"/>
        </w:rPr>
        <w:t>1.0   Project and tender background</w:t>
      </w:r>
    </w:p>
    <w:p>
      <w:r>
        <w:rPr>
          <w:b w:val="0"/>
        </w:rPr>
        <w:t>Murray River Council (Council) has invited tenders (MRC-2645, VendorPanel VP527277) for the inspection, condition assessment, remaining useful life and comprehensive valuation of all transport and bridge infrastructure across the Murray River LGA, in four zones: Barham, Mathoura, Moama and Moulamein. The first valuation is as at 30/06/2027. A rolling program follows, with one zone physically inspected each year from 2028 to 2031 and a valuation by 30 June each year.</w:t>
      </w:r>
    </w:p>
    <w:p>
      <w:r>
        <w:rPr>
          <w:b w:val="0"/>
        </w:rPr>
        <w:t>Council wants one supplier and one lump sum, broken down by asset category and valuation year. JCE Infrastructure (JCE) is tendering as Lead Consultant. JCE is responsible for the methodology, quality control, drone capture, GIS and the asset register, condition rating of the non-road assets, remaining life, defect and safety assessment, 10-year programs, valuation inputs and reporting, and works with specialist partners for road imaging, bridge inspection and valuation.</w:t>
      </w:r>
    </w:p>
    <w:p>
      <w:pPr>
        <w:keepNext/>
      </w:pPr>
      <w:r>
        <w:rPr>
          <w:b w:val="0"/>
        </w:rPr>
        <w:t>Council's Appendix 1 quantities (to be verified by inspection). You image the whole network and rate the roads; the other classes are imaged in your pass and rated by JCE:</w:t>
      </w:r>
    </w:p>
    <w:tbl>
      <w:tblPr>
        <w:tblStyle w:val="TableGrid"/>
        <w:tblW w:type="auto" w:w="0"/>
        <w:jc w:val="center"/>
        <w:tblLayout w:type="fixed"/>
        <w:tblLook w:firstColumn="1" w:firstRow="1" w:lastColumn="0" w:lastRow="0" w:noHBand="0" w:noVBand="1" w:val="04A0"/>
      </w:tblPr>
      <w:tblGrid>
        <w:gridCol w:w="2381"/>
        <w:gridCol w:w="2494"/>
        <w:gridCol w:w="3061"/>
        <w:gridCol w:w="1701"/>
      </w:tblGrid>
      <w:tr>
        <w:trPr>
          <w:tblHeader/>
          <w:cantSplit/>
        </w:trPr>
        <w:tc>
          <w:tcPr>
            <w:tcW w:type="dxa" w:w="2381"/>
            <w:shd w:val="clear" w:color="auto" w:fill="1F3A5F"/>
          </w:tcPr>
          <w:p>
            <w:pPr>
              <w:keepNext/>
              <w:spacing w:after="20"/>
            </w:pPr>
            <w:r>
              <w:rPr>
                <w:b/>
                <w:color w:val="FFFFFF"/>
                <w:sz w:val="18"/>
              </w:rPr>
              <w:t>Asset class</w:t>
            </w:r>
          </w:p>
        </w:tc>
        <w:tc>
          <w:tcPr>
            <w:tcW w:type="dxa" w:w="2494"/>
            <w:shd w:val="clear" w:color="auto" w:fill="1F3A5F"/>
          </w:tcPr>
          <w:p>
            <w:pPr>
              <w:keepNext/>
              <w:spacing w:after="20"/>
            </w:pPr>
            <w:r>
              <w:rPr>
                <w:b/>
                <w:color w:val="FFFFFF"/>
                <w:sz w:val="18"/>
              </w:rPr>
              <w:t>Quantity</w:t>
            </w:r>
          </w:p>
        </w:tc>
        <w:tc>
          <w:tcPr>
            <w:tcW w:type="dxa" w:w="3061"/>
            <w:shd w:val="clear" w:color="auto" w:fill="1F3A5F"/>
          </w:tcPr>
          <w:p>
            <w:pPr>
              <w:keepNext/>
              <w:spacing w:after="20"/>
            </w:pPr>
            <w:r>
              <w:rPr>
                <w:b/>
                <w:color w:val="FFFFFF"/>
                <w:sz w:val="18"/>
              </w:rPr>
              <w:t>Condition rating</w:t>
            </w:r>
          </w:p>
        </w:tc>
        <w:tc>
          <w:tcPr>
            <w:tcW w:type="dxa" w:w="1701"/>
            <w:shd w:val="clear" w:color="auto" w:fill="1F3A5F"/>
          </w:tcPr>
          <w:p>
            <w:pPr>
              <w:keepNext/>
              <w:spacing w:after="20"/>
            </w:pPr>
            <w:r>
              <w:rPr>
                <w:b/>
                <w:color w:val="FFFFFF"/>
                <w:sz w:val="18"/>
              </w:rPr>
              <w:t>Images</w:t>
            </w:r>
          </w:p>
        </w:tc>
      </w:tr>
      <w:tr>
        <w:trPr>
          <w:cantSplit/>
        </w:trPr>
        <w:tc>
          <w:tcPr>
            <w:tcW w:type="dxa" w:w="2381"/>
          </w:tcPr>
          <w:p>
            <w:pPr>
              <w:keepNext/>
              <w:spacing w:after="20"/>
            </w:pPr>
            <w:r>
              <w:rPr>
                <w:sz w:val="18"/>
              </w:rPr>
              <w:t>Sealed roads: urban; regional; local</w:t>
            </w:r>
          </w:p>
        </w:tc>
        <w:tc>
          <w:tcPr>
            <w:tcW w:type="dxa" w:w="2494"/>
          </w:tcPr>
          <w:p>
            <w:pPr>
              <w:keepNext/>
              <w:spacing w:after="20"/>
            </w:pPr>
            <w:r>
              <w:rPr>
                <w:sz w:val="18"/>
              </w:rPr>
              <w:t>1,110 km (133; 416; 561)</w:t>
            </w:r>
          </w:p>
        </w:tc>
        <w:tc>
          <w:tcPr>
            <w:tcW w:type="dxa" w:w="3061"/>
          </w:tcPr>
          <w:p>
            <w:pPr>
              <w:keepNext/>
              <w:spacing w:after="20"/>
            </w:pPr>
            <w:r>
              <w:rPr>
                <w:sz w:val="18"/>
              </w:rPr>
              <w:t>Per segment and component (surface, pavement, formation)</w:t>
            </w:r>
          </w:p>
        </w:tc>
        <w:tc>
          <w:tcPr>
            <w:tcW w:type="dxa" w:w="1701"/>
          </w:tcPr>
          <w:p>
            <w:pPr>
              <w:keepNext/>
              <w:spacing w:after="20"/>
            </w:pPr>
            <w:r>
              <w:rPr>
                <w:sz w:val="18"/>
              </w:rPr>
              <w:t>Every 10 m</w:t>
            </w:r>
          </w:p>
        </w:tc>
      </w:tr>
      <w:tr>
        <w:trPr>
          <w:cantSplit/>
        </w:trPr>
        <w:tc>
          <w:tcPr>
            <w:tcW w:type="dxa" w:w="2381"/>
          </w:tcPr>
          <w:p>
            <w:pPr>
              <w:keepNext/>
              <w:spacing w:after="20"/>
            </w:pPr>
            <w:r>
              <w:rPr>
                <w:sz w:val="18"/>
              </w:rPr>
              <w:t>Unsealed roads</w:t>
            </w:r>
          </w:p>
        </w:tc>
        <w:tc>
          <w:tcPr>
            <w:tcW w:type="dxa" w:w="2494"/>
          </w:tcPr>
          <w:p>
            <w:pPr>
              <w:keepNext/>
              <w:spacing w:after="20"/>
            </w:pPr>
            <w:r>
              <w:rPr>
                <w:sz w:val="18"/>
              </w:rPr>
              <w:t>1,890 km</w:t>
            </w:r>
          </w:p>
        </w:tc>
        <w:tc>
          <w:tcPr>
            <w:tcW w:type="dxa" w:w="3061"/>
          </w:tcPr>
          <w:p>
            <w:pPr>
              <w:keepNext/>
              <w:spacing w:after="20"/>
            </w:pPr>
            <w:r>
              <w:rPr>
                <w:sz w:val="18"/>
              </w:rPr>
              <w:t>Per segment (wearing course, formation)</w:t>
            </w:r>
          </w:p>
        </w:tc>
        <w:tc>
          <w:tcPr>
            <w:tcW w:type="dxa" w:w="1701"/>
          </w:tcPr>
          <w:p>
            <w:pPr>
              <w:keepNext/>
              <w:spacing w:after="20"/>
            </w:pPr>
            <w:r>
              <w:rPr>
                <w:sz w:val="18"/>
              </w:rPr>
              <w:t>Every 10 m</w:t>
            </w:r>
          </w:p>
        </w:tc>
      </w:tr>
      <w:tr>
        <w:trPr>
          <w:cantSplit/>
        </w:trPr>
        <w:tc>
          <w:tcPr>
            <w:tcW w:type="dxa" w:w="2381"/>
          </w:tcPr>
          <w:p>
            <w:pPr>
              <w:keepNext/>
              <w:spacing w:after="20"/>
            </w:pPr>
            <w:r>
              <w:rPr>
                <w:sz w:val="18"/>
              </w:rPr>
              <w:t>Kerb and gutter</w:t>
            </w:r>
          </w:p>
        </w:tc>
        <w:tc>
          <w:tcPr>
            <w:tcW w:type="dxa" w:w="2494"/>
          </w:tcPr>
          <w:p>
            <w:pPr>
              <w:keepNext/>
              <w:spacing w:after="20"/>
            </w:pPr>
            <w:r>
              <w:rPr>
                <w:sz w:val="18"/>
              </w:rPr>
              <w:t>176 km</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Footpaths and cycleways</w:t>
            </w:r>
          </w:p>
        </w:tc>
        <w:tc>
          <w:tcPr>
            <w:tcW w:type="dxa" w:w="2494"/>
          </w:tcPr>
          <w:p>
            <w:pPr>
              <w:keepNext/>
              <w:spacing w:after="20"/>
            </w:pPr>
            <w:r>
              <w:rPr>
                <w:sz w:val="18"/>
              </w:rPr>
              <w:t>121 km</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Roundabouts; traffic islands; medians</w:t>
            </w:r>
          </w:p>
        </w:tc>
        <w:tc>
          <w:tcPr>
            <w:tcW w:type="dxa" w:w="2494"/>
          </w:tcPr>
          <w:p>
            <w:pPr>
              <w:keepNext/>
              <w:spacing w:after="20"/>
            </w:pPr>
            <w:r>
              <w:rPr>
                <w:sz w:val="18"/>
              </w:rPr>
              <w:t>21; 199; 29</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Carparks</w:t>
            </w:r>
          </w:p>
        </w:tc>
        <w:tc>
          <w:tcPr>
            <w:tcW w:type="dxa" w:w="2494"/>
          </w:tcPr>
          <w:p>
            <w:pPr>
              <w:keepNext/>
              <w:spacing w:after="20"/>
            </w:pPr>
            <w:r>
              <w:rPr>
                <w:sz w:val="18"/>
              </w:rPr>
              <w:t>63</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Rural culverts</w:t>
            </w:r>
          </w:p>
        </w:tc>
        <w:tc>
          <w:tcPr>
            <w:tcW w:type="dxa" w:w="2494"/>
          </w:tcPr>
          <w:p>
            <w:pPr>
              <w:keepNext/>
              <w:spacing w:after="20"/>
            </w:pPr>
            <w:r>
              <w:rPr>
                <w:sz w:val="18"/>
              </w:rPr>
              <w:t>About 1,555 (to be confirmed)</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Guardrail</w:t>
            </w:r>
          </w:p>
        </w:tc>
        <w:tc>
          <w:tcPr>
            <w:tcW w:type="dxa" w:w="2494"/>
          </w:tcPr>
          <w:p>
            <w:pPr>
              <w:keepNext/>
              <w:spacing w:after="20"/>
            </w:pPr>
            <w:r>
              <w:rPr>
                <w:sz w:val="18"/>
              </w:rPr>
              <w:t>About 500 items (to be confirmed)</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Bus shelters</w:t>
            </w:r>
          </w:p>
        </w:tc>
        <w:tc>
          <w:tcPr>
            <w:tcW w:type="dxa" w:w="2494"/>
          </w:tcPr>
          <w:p>
            <w:pPr>
              <w:keepNext/>
              <w:spacing w:after="20"/>
            </w:pPr>
            <w:r>
              <w:rPr>
                <w:sz w:val="18"/>
              </w:rPr>
              <w:t>About 35 (to be confirmed)</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spacing w:after="20"/>
            </w:pPr>
            <w:r>
              <w:rPr>
                <w:sz w:val="18"/>
              </w:rPr>
              <w:t>Zones (road length)</w:t>
            </w:r>
          </w:p>
        </w:tc>
        <w:tc>
          <w:tcPr>
            <w:tcW w:type="dxa" w:w="2494"/>
          </w:tcPr>
          <w:p>
            <w:pPr>
              <w:spacing w:after="20"/>
            </w:pPr>
            <w:r>
              <w:rPr>
                <w:sz w:val="18"/>
              </w:rPr>
              <w:t>Barham 809 km; Mathoura 864 km; Moama 474 km; Moulamein 842 km</w:t>
            </w:r>
          </w:p>
        </w:tc>
        <w:tc>
          <w:tcPr>
            <w:tcW w:type="dxa" w:w="3061"/>
          </w:tcPr>
          <w:p>
            <w:pPr>
              <w:spacing w:after="20"/>
            </w:pPr>
            <w:r>
              <w:rPr>
                <w:sz w:val="18"/>
              </w:rPr>
              <w:t>Includes a 500 m buffer past LGA and zone boundaries</w:t>
            </w:r>
          </w:p>
        </w:tc>
        <w:tc>
          <w:tcPr>
            <w:tcW w:type="dxa" w:w="1701"/>
          </w:tcPr>
          <w:p>
            <w:pPr>
              <w:spacing w:after="20"/>
            </w:pPr>
            <w:r>
              <w:rPr>
                <w:sz w:val="18"/>
              </w:rPr>
            </w:r>
          </w:p>
        </w:tc>
      </w:tr>
    </w:tbl>
    <w:p>
      <w:pPr>
        <w:spacing w:after="0"/>
      </w:pPr>
    </w:p>
    <w:p>
      <w:pPr>
        <w:keepNext/>
        <w:spacing w:before="200"/>
      </w:pPr>
      <w:r>
        <w:rPr>
          <w:b/>
          <w:color w:val="1F3A5F"/>
          <w:sz w:val="23"/>
        </w:rPr>
        <w:t>2.0   Scope of services requested</w:t>
      </w:r>
    </w:p>
    <w:p>
      <w:pPr>
        <w:keepNext/>
        <w:spacing w:before="80"/>
      </w:pPr>
      <w:r>
        <w:rPr>
          <w:b/>
        </w:rPr>
        <w:t>Inspection and condition rating of roads (Year 1, all four zones)</w:t>
      </w:r>
    </w:p>
    <w:p>
      <w:pPr>
        <w:pStyle w:val="ListBullet"/>
        <w:keepNext w:val="0"/>
        <w:spacing w:after="40"/>
      </w:pPr>
      <w:r>
        <w:t>Condition rating of sealed roads (surface, pavement, formation) and unsealed roads (wearing course, formation) on Council's scale (1 Excellent, 2 Good, 3 Fair, 4 Poor, 5 Very Poor) for every segment and component, with defects coded to Council's defect schema. JCE supplies the rating guide, confirmed after the pilot.</w:t>
      </w:r>
    </w:p>
    <w:p>
      <w:pPr>
        <w:pStyle w:val="ListBullet"/>
        <w:keepNext w:val="0"/>
        <w:spacing w:after="40"/>
      </w:pPr>
      <w:r>
        <w:t>Segments: urban roads block to block (the main road owns the intersection); rural roads in 2 km segments from zero chainage. Rural roads that start in town use the rural method. Barham Road, Wakool Road and Moulamein Road are each collected whole in one zone.</w:t>
      </w:r>
    </w:p>
    <w:p>
      <w:pPr>
        <w:pStyle w:val="ListBullet"/>
        <w:keepNext w:val="0"/>
        <w:spacing w:after="40"/>
      </w:pPr>
      <w:r>
        <w:t>Minimum record per road segment: Asset ID, name, location, component, material, width, inspection date, rater, images, defects with at least two images (segment overview and close-up), rating and recommended action.</w:t>
      </w:r>
    </w:p>
    <w:p>
      <w:pPr>
        <w:pStyle w:val="ListBullet"/>
        <w:keepNext w:val="0"/>
        <w:spacing w:after="40"/>
      </w:pPr>
      <w:r>
        <w:t>Roadside assets (kerb and gutter, footpaths beside the road, culvert ends, guardrail, bus shelters, islands and medians): imaged in the same pass so that JCE can rate them. No rating of these by you. Unprotected edge drops seen in the pass are recorded as road defects.</w:t>
      </w:r>
    </w:p>
    <w:p>
      <w:pPr>
        <w:pStyle w:val="ListBullet"/>
        <w:spacing w:after="40"/>
      </w:pPr>
      <w:r>
        <w:t>All roads are recorded regardless of value, including those below Council's capitalisation thresholds.</w:t>
      </w:r>
    </w:p>
    <w:p>
      <w:pPr>
        <w:keepNext/>
        <w:spacing w:before="80"/>
      </w:pPr>
      <w:r>
        <w:rPr>
          <w:b/>
        </w:rPr>
        <w:t>Imaging, GPS and spatial requirements</w:t>
      </w:r>
    </w:p>
    <w:p>
      <w:pPr>
        <w:pStyle w:val="ListBullet"/>
        <w:keepNext/>
        <w:spacing w:after="40"/>
      </w:pPr>
      <w:r>
        <w:t>High-resolution, low-distortion stills that can be used to rate pavement defects, every 10 m on linear assets and of each component on complex assets, with GPS embedded natively in each image (DRFA compliant).</w:t>
      </w:r>
    </w:p>
    <w:p>
      <w:pPr>
        <w:pStyle w:val="ListBullet"/>
        <w:keepNext/>
        <w:spacing w:after="40"/>
      </w:pPr>
      <w:r>
        <w:t>Camera coverage from kerb to kerb or table drain to table drain, capturing roadside features and hazards on both sides, with offset GPS pick-up of on-road and roadside features. Please state whether you capture one lane or both lanes in one pass, including on single-lane unsealed roads.</w:t>
      </w:r>
    </w:p>
    <w:p>
      <w:pPr>
        <w:pStyle w:val="ListBullet"/>
        <w:keepNext/>
        <w:spacing w:after="40"/>
      </w:pPr>
      <w:r>
        <w:t>Image names in Council's format: Asset ID, then component or chainage, then lane direction or facing, separated by hyphens. Coordinates in GDA94 and GDA2020 (MGA zones 54 and 55), heights to AHD.</w:t>
      </w:r>
    </w:p>
    <w:p>
      <w:pPr>
        <w:pStyle w:val="ListBullet"/>
        <w:spacing w:after="40"/>
      </w:pPr>
      <w:r>
        <w:t>A three-day pilot in Moama with JCE and Council before full capture; same-day notice to JCE of condition 5 and safety defects; weekly progress data.</w:t>
      </w:r>
    </w:p>
    <w:p>
      <w:pPr>
        <w:keepNext/>
        <w:spacing w:before="80"/>
      </w:pPr>
      <w:r>
        <w:rPr>
          <w:b/>
        </w:rPr>
        <w:t>Rolling years 2028 to 2031</w:t>
      </w:r>
    </w:p>
    <w:p>
      <w:pPr>
        <w:pStyle w:val="ListBullet"/>
        <w:spacing w:after="40"/>
      </w:pPr>
      <w:r>
        <w:t>Imaging and road rating of one zone a year to the same specification (Barham 2028, Mathoura 2029, Moama 2030, Moulamein 2031), plus the newly acquired roads Council lists each year, with capture between February and April and data by 30 April.</w:t>
      </w:r>
    </w:p>
    <w:p>
      <w:pPr>
        <w:keepNext/>
        <w:spacing w:before="200"/>
      </w:pPr>
      <w:r>
        <w:rPr>
          <w:b/>
          <w:color w:val="1F3A5F"/>
          <w:sz w:val="23"/>
        </w:rPr>
        <w:t>3.0   Deliverables and formats</w:t>
      </w:r>
    </w:p>
    <w:p>
      <w:pPr>
        <w:pStyle w:val="ListBullet"/>
        <w:keepNext/>
        <w:spacing w:after="40"/>
      </w:pPr>
      <w:r>
        <w:t>Road ratings and defects in Council's Excel data template (Roads tab), linked to Council Asset IDs. JCE builds the other tabs.</w:t>
      </w:r>
    </w:p>
    <w:p>
      <w:pPr>
        <w:pStyle w:val="ListBullet"/>
        <w:keepNext/>
        <w:spacing w:after="40"/>
      </w:pPr>
      <w:r>
        <w:t>Images (.jpg) with GPS metadata, an image index file and the GNSS track. JCE builds the GIS layers.</w:t>
      </w:r>
    </w:p>
    <w:p>
      <w:pPr>
        <w:pStyle w:val="ListBullet"/>
        <w:keepNext/>
        <w:spacing w:after="40"/>
      </w:pPr>
      <w:r>
        <w:t>Road defect list with ratings, images and locations, and same-day notices of condition 5 and safety defects seen in the pass.</w:t>
      </w:r>
    </w:p>
    <w:p>
      <w:pPr>
        <w:pStyle w:val="ListBullet"/>
        <w:spacing w:after="40"/>
      </w:pPr>
      <w:r>
        <w:t>QA records: rater calibration, re-rates and completeness checks.</w:t>
      </w:r>
    </w:p>
    <w:p>
      <w:pPr>
        <w:keepNext/>
        <w:spacing w:before="200"/>
      </w:pPr>
      <w:r>
        <w:rPr>
          <w:b/>
          <w:color w:val="1F3A5F"/>
          <w:sz w:val="23"/>
        </w:rPr>
        <w:t>4.0   Program</w:t>
      </w:r>
    </w:p>
    <w:p>
      <w:pPr>
        <w:keepNext/>
      </w:pPr>
      <w:r>
        <w:rPr>
          <w:b w:val="0"/>
        </w:rPr>
        <w:t>The Year 1 field work runs from December 2026 to April 2027 so that JCE can complete the data, defect reports and valuation as at 30/06/2027. Dates assume award on Council's expected decision date of 11/12/2026.</w:t>
      </w:r>
    </w:p>
    <w:tbl>
      <w:tblPr>
        <w:tblStyle w:val="TableGrid"/>
        <w:tblW w:type="auto" w:w="0"/>
        <w:jc w:val="center"/>
        <w:tblLayout w:type="fixed"/>
        <w:tblLook w:firstColumn="1" w:firstRow="1" w:lastColumn="0" w:lastRow="0" w:noHBand="0" w:noVBand="1" w:val="04A0"/>
      </w:tblPr>
      <w:tblGrid>
        <w:gridCol w:w="6236"/>
        <w:gridCol w:w="3402"/>
      </w:tblGrid>
      <w:tr>
        <w:trPr>
          <w:tblHeader/>
          <w:cantSplit/>
        </w:trPr>
        <w:tc>
          <w:tcPr>
            <w:tcW w:type="dxa" w:w="6236"/>
            <w:shd w:val="clear" w:color="auto" w:fill="1F3A5F"/>
          </w:tcPr>
          <w:p>
            <w:pPr>
              <w:keepNext/>
              <w:spacing w:after="20"/>
            </w:pPr>
            <w:r>
              <w:rPr>
                <w:b/>
                <w:color w:val="FFFFFF"/>
                <w:sz w:val="18"/>
              </w:rPr>
              <w:t>Milestone</w:t>
            </w:r>
          </w:p>
        </w:tc>
        <w:tc>
          <w:tcPr>
            <w:tcW w:type="dxa" w:w="3402"/>
            <w:shd w:val="clear" w:color="auto" w:fill="1F3A5F"/>
          </w:tcPr>
          <w:p>
            <w:pPr>
              <w:keepNext/>
              <w:spacing w:after="20"/>
            </w:pPr>
            <w:r>
              <w:rPr>
                <w:b/>
                <w:color w:val="FFFFFF"/>
                <w:sz w:val="18"/>
              </w:rPr>
              <w:t>Date</w:t>
            </w:r>
          </w:p>
        </w:tc>
      </w:tr>
      <w:tr>
        <w:trPr>
          <w:cantSplit/>
        </w:trPr>
        <w:tc>
          <w:tcPr>
            <w:tcW w:type="dxa" w:w="6236"/>
          </w:tcPr>
          <w:p>
            <w:pPr>
              <w:keepNext/>
              <w:spacing w:after="20"/>
            </w:pPr>
            <w:r>
              <w:rPr>
                <w:sz w:val="18"/>
              </w:rPr>
              <w:t>Quote due</w:t>
            </w:r>
          </w:p>
        </w:tc>
        <w:tc>
          <w:tcPr>
            <w:tcW w:type="dxa" w:w="3402"/>
          </w:tcPr>
          <w:p>
            <w:pPr>
              <w:keepNext/>
              <w:spacing w:after="20"/>
            </w:pPr>
            <w:r>
              <w:rPr>
                <w:sz w:val="18"/>
              </w:rPr>
              <w:t>12:00 pm, Wednesday 28/10/2026</w:t>
            </w:r>
          </w:p>
        </w:tc>
      </w:tr>
      <w:tr>
        <w:trPr>
          <w:cantSplit/>
        </w:trPr>
        <w:tc>
          <w:tcPr>
            <w:tcW w:type="dxa" w:w="6236"/>
          </w:tcPr>
          <w:p>
            <w:pPr>
              <w:keepNext/>
              <w:spacing w:after="20"/>
            </w:pPr>
            <w:r>
              <w:rPr>
                <w:sz w:val="18"/>
              </w:rPr>
              <w:t>Tender closes</w:t>
            </w:r>
          </w:p>
        </w:tc>
        <w:tc>
          <w:tcPr>
            <w:tcW w:type="dxa" w:w="3402"/>
          </w:tcPr>
          <w:p>
            <w:pPr>
              <w:keepNext/>
              <w:spacing w:after="20"/>
            </w:pPr>
            <w:r>
              <w:rPr>
                <w:sz w:val="18"/>
              </w:rPr>
              <w:t>2:00 pm, Friday 13/11/2026</w:t>
            </w:r>
          </w:p>
        </w:tc>
      </w:tr>
      <w:tr>
        <w:trPr>
          <w:cantSplit/>
        </w:trPr>
        <w:tc>
          <w:tcPr>
            <w:tcW w:type="dxa" w:w="6236"/>
          </w:tcPr>
          <w:p>
            <w:pPr>
              <w:keepNext/>
              <w:spacing w:after="20"/>
            </w:pPr>
            <w:r>
              <w:rPr>
                <w:sz w:val="18"/>
              </w:rPr>
              <w:t>Award (Council's expected decision date)</w:t>
            </w:r>
          </w:p>
        </w:tc>
        <w:tc>
          <w:tcPr>
            <w:tcW w:type="dxa" w:w="3402"/>
          </w:tcPr>
          <w:p>
            <w:pPr>
              <w:keepNext/>
              <w:spacing w:after="20"/>
            </w:pPr>
            <w:r>
              <w:rPr>
                <w:sz w:val="18"/>
              </w:rPr>
              <w:t>Friday 11/12/2026</w:t>
            </w:r>
          </w:p>
        </w:tc>
      </w:tr>
      <w:tr>
        <w:trPr>
          <w:cantSplit/>
        </w:trPr>
        <w:tc>
          <w:tcPr>
            <w:tcW w:type="dxa" w:w="6236"/>
          </w:tcPr>
          <w:p>
            <w:pPr>
              <w:keepNext/>
              <w:spacing w:after="20"/>
            </w:pPr>
            <w:r>
              <w:rPr>
                <w:sz w:val="18"/>
              </w:rPr>
              <w:t>Your SWMS, safety plan and methodology input to JCE</w:t>
            </w:r>
          </w:p>
        </w:tc>
        <w:tc>
          <w:tcPr>
            <w:tcW w:type="dxa" w:w="3402"/>
          </w:tcPr>
          <w:p>
            <w:pPr>
              <w:keepNext/>
              <w:spacing w:after="20"/>
            </w:pPr>
            <w:r>
              <w:rPr>
                <w:sz w:val="18"/>
              </w:rPr>
              <w:t>Monday 14/12/2026</w:t>
            </w:r>
          </w:p>
        </w:tc>
      </w:tr>
      <w:tr>
        <w:trPr>
          <w:cantSplit/>
        </w:trPr>
        <w:tc>
          <w:tcPr>
            <w:tcW w:type="dxa" w:w="6236"/>
          </w:tcPr>
          <w:p>
            <w:pPr>
              <w:keepNext/>
              <w:spacing w:after="20"/>
            </w:pPr>
            <w:r>
              <w:rPr>
                <w:sz w:val="18"/>
              </w:rPr>
              <w:t>Hold point submissions to Council</w:t>
            </w:r>
          </w:p>
        </w:tc>
        <w:tc>
          <w:tcPr>
            <w:tcW w:type="dxa" w:w="3402"/>
          </w:tcPr>
          <w:p>
            <w:pPr>
              <w:keepNext/>
              <w:spacing w:after="20"/>
            </w:pPr>
            <w:r>
              <w:rPr>
                <w:sz w:val="18"/>
              </w:rPr>
              <w:t>Friday 18/12/2026</w:t>
            </w:r>
          </w:p>
        </w:tc>
      </w:tr>
      <w:tr>
        <w:trPr>
          <w:cantSplit/>
        </w:trPr>
        <w:tc>
          <w:tcPr>
            <w:tcW w:type="dxa" w:w="6236"/>
          </w:tcPr>
          <w:p>
            <w:pPr>
              <w:keepNext/>
              <w:spacing w:after="20"/>
            </w:pPr>
            <w:r>
              <w:rPr>
                <w:sz w:val="18"/>
              </w:rPr>
              <w:t>Inception and Council WHS induction, Moama</w:t>
            </w:r>
          </w:p>
        </w:tc>
        <w:tc>
          <w:tcPr>
            <w:tcW w:type="dxa" w:w="3402"/>
          </w:tcPr>
          <w:p>
            <w:pPr>
              <w:keepNext/>
              <w:spacing w:after="20"/>
            </w:pPr>
            <w:r>
              <w:rPr>
                <w:sz w:val="18"/>
              </w:rPr>
              <w:t>Tuesday 12/01/2027</w:t>
            </w:r>
          </w:p>
        </w:tc>
      </w:tr>
      <w:tr>
        <w:trPr>
          <w:cantSplit/>
        </w:trPr>
        <w:tc>
          <w:tcPr>
            <w:tcW w:type="dxa" w:w="6236"/>
          </w:tcPr>
          <w:p>
            <w:pPr>
              <w:keepNext/>
              <w:spacing w:after="20"/>
            </w:pPr>
            <w:r>
              <w:rPr>
                <w:sz w:val="18"/>
              </w:rPr>
              <w:t>Pilot, Moama (with JCE and Council)</w:t>
            </w:r>
          </w:p>
        </w:tc>
        <w:tc>
          <w:tcPr>
            <w:tcW w:type="dxa" w:w="3402"/>
          </w:tcPr>
          <w:p>
            <w:pPr>
              <w:keepNext/>
              <w:spacing w:after="20"/>
            </w:pPr>
            <w:r>
              <w:rPr>
                <w:sz w:val="18"/>
              </w:rPr>
              <w:t>27/01/2027 to 29/01/2027</w:t>
            </w:r>
          </w:p>
        </w:tc>
      </w:tr>
      <w:tr>
        <w:trPr>
          <w:cantSplit/>
        </w:trPr>
        <w:tc>
          <w:tcPr>
            <w:tcW w:type="dxa" w:w="6236"/>
          </w:tcPr>
          <w:p>
            <w:pPr>
              <w:keepNext/>
              <w:spacing w:after="20"/>
            </w:pPr>
            <w:r>
              <w:rPr>
                <w:sz w:val="18"/>
              </w:rPr>
              <w:t>Approval to proceed</w:t>
            </w:r>
          </w:p>
        </w:tc>
        <w:tc>
          <w:tcPr>
            <w:tcW w:type="dxa" w:w="3402"/>
          </w:tcPr>
          <w:p>
            <w:pPr>
              <w:keepNext/>
              <w:spacing w:after="20"/>
            </w:pPr>
            <w:r>
              <w:rPr>
                <w:sz w:val="18"/>
              </w:rPr>
              <w:t>Friday 05/02/2027</w:t>
            </w:r>
          </w:p>
        </w:tc>
      </w:tr>
      <w:tr>
        <w:trPr>
          <w:cantSplit/>
        </w:trPr>
        <w:tc>
          <w:tcPr>
            <w:tcW w:type="dxa" w:w="6236"/>
          </w:tcPr>
          <w:p>
            <w:pPr>
              <w:keepNext/>
              <w:spacing w:after="20"/>
            </w:pPr>
            <w:r>
              <w:rPr>
                <w:sz w:val="18"/>
              </w:rPr>
              <w:t>Network capture, all four zones</w:t>
            </w:r>
          </w:p>
        </w:tc>
        <w:tc>
          <w:tcPr>
            <w:tcW w:type="dxa" w:w="3402"/>
          </w:tcPr>
          <w:p>
            <w:pPr>
              <w:keepNext/>
              <w:spacing w:after="20"/>
            </w:pPr>
            <w:r>
              <w:rPr>
                <w:sz w:val="18"/>
              </w:rPr>
              <w:t>08/02/2027 to 16/04/2027</w:t>
            </w:r>
          </w:p>
        </w:tc>
      </w:tr>
      <w:tr>
        <w:trPr>
          <w:cantSplit/>
        </w:trPr>
        <w:tc>
          <w:tcPr>
            <w:tcW w:type="dxa" w:w="6236"/>
          </w:tcPr>
          <w:p>
            <w:pPr>
              <w:keepNext/>
              <w:spacing w:after="20"/>
            </w:pPr>
            <w:r>
              <w:rPr>
                <w:sz w:val="18"/>
              </w:rPr>
              <w:t>Final data, images and QA records to JCE</w:t>
            </w:r>
          </w:p>
        </w:tc>
        <w:tc>
          <w:tcPr>
            <w:tcW w:type="dxa" w:w="3402"/>
          </w:tcPr>
          <w:p>
            <w:pPr>
              <w:keepNext/>
              <w:spacing w:after="20"/>
            </w:pPr>
            <w:r>
              <w:rPr>
                <w:sz w:val="18"/>
              </w:rPr>
              <w:t>Friday 30/04/2027</w:t>
            </w:r>
          </w:p>
        </w:tc>
      </w:tr>
      <w:tr>
        <w:trPr>
          <w:cantSplit/>
        </w:trPr>
        <w:tc>
          <w:tcPr>
            <w:tcW w:type="dxa" w:w="6236"/>
          </w:tcPr>
          <w:p>
            <w:pPr>
              <w:spacing w:after="20"/>
            </w:pPr>
            <w:r>
              <w:rPr>
                <w:sz w:val="18"/>
              </w:rPr>
              <w:t>Rolling zones 2028 to 2031</w:t>
            </w:r>
          </w:p>
        </w:tc>
        <w:tc>
          <w:tcPr>
            <w:tcW w:type="dxa" w:w="3402"/>
          </w:tcPr>
          <w:p>
            <w:pPr>
              <w:spacing w:after="20"/>
            </w:pPr>
            <w:r>
              <w:rPr>
                <w:sz w:val="18"/>
              </w:rPr>
              <w:t>Capture February to April; data by 30 April each year</w:t>
            </w:r>
          </w:p>
        </w:tc>
      </w:tr>
    </w:tbl>
    <w:p>
      <w:pPr>
        <w:spacing w:after="0"/>
      </w:pPr>
    </w:p>
    <w:p>
      <w:r>
        <w:rPr>
          <w:b w:val="0"/>
        </w:rPr>
        <w:t>Please confirm you can meet these dates and state the staff, crews and vehicles you will commit in each period.</w:t>
      </w:r>
    </w:p>
    <w:p>
      <w:pPr>
        <w:keepNext/>
        <w:spacing w:before="200"/>
      </w:pPr>
      <w:r>
        <w:rPr>
          <w:b/>
          <w:color w:val="1F3A5F"/>
          <w:sz w:val="23"/>
        </w:rPr>
        <w:t>5.0   Information provided</w:t>
      </w:r>
    </w:p>
    <w:p>
      <w:pPr>
        <w:pStyle w:val="ListBullet"/>
        <w:keepNext/>
        <w:spacing w:after="40"/>
      </w:pPr>
      <w:r>
        <w:t>Council's Project Brief (MRC-2645_Project_Brief.pdf).</w:t>
      </w:r>
    </w:p>
    <w:p>
      <w:pPr>
        <w:pStyle w:val="ListBullet"/>
        <w:keepNext/>
        <w:spacing w:after="40"/>
      </w:pPr>
      <w:r>
        <w:t>Council's asset data template (MRC-2645_asset_data_schema-data_template_August_2026.xlsx).</w:t>
      </w:r>
    </w:p>
    <w:p>
      <w:pPr>
        <w:pStyle w:val="ListBullet"/>
        <w:spacing w:after="40"/>
      </w:pPr>
      <w:r>
        <w:t>Council's Conditions of Tender and draft Consultancy Services Agreement, from JCE on request.</w:t>
      </w:r>
    </w:p>
    <w:p>
      <w:pPr>
        <w:keepNext/>
        <w:spacing w:before="200"/>
      </w:pPr>
      <w:r>
        <w:rPr>
          <w:b/>
          <w:color w:val="1F3A5F"/>
          <w:sz w:val="23"/>
        </w:rPr>
        <w:t>6.0   Insurance, WHS and quality requirements</w:t>
      </w:r>
    </w:p>
    <w:p>
      <w:pPr>
        <w:keepNext/>
      </w:pPr>
      <w:r>
        <w:rPr>
          <w:b/>
        </w:rPr>
        <w:t xml:space="preserve">Insurance. </w:t>
      </w:r>
      <w:r>
        <w:rPr>
          <w:b w:val="0"/>
        </w:rPr>
        <w:t>Item 18 of Council's draft Consultancy Services Agreement sets these minimums, which JCE will pass down to its subconsultants:</w:t>
      </w:r>
    </w:p>
    <w:p>
      <w:pPr>
        <w:pStyle w:val="ListBullet"/>
        <w:keepNext/>
        <w:spacing w:after="40"/>
      </w:pPr>
      <w:r>
        <w:t>Professional indemnity insurance of at least $5 million for each subconsultant (Item 18(c)), kept in force until seven years after Completion of the services (clause 14.1).</w:t>
      </w:r>
    </w:p>
    <w:p>
      <w:pPr>
        <w:pStyle w:val="ListBullet"/>
        <w:keepNext/>
        <w:spacing w:after="40"/>
      </w:pPr>
      <w:r>
        <w:t>Public liability insurance of at least $20 million for any one occurrence (Item 18(a)). The Agreement requires the public liability policy to cover all subconsultants unless Council approves otherwise, so please state your own cover.</w:t>
      </w:r>
    </w:p>
    <w:p>
      <w:pPr>
        <w:pStyle w:val="ListBullet"/>
        <w:keepNext/>
        <w:spacing w:after="40"/>
      </w:pPr>
      <w:r>
        <w:t>Workers compensation insurance as required by law (clause 14.1).</w:t>
      </w:r>
    </w:p>
    <w:p>
      <w:pPr>
        <w:pStyle w:val="ListBullet"/>
        <w:spacing w:after="40"/>
      </w:pPr>
      <w:r>
        <w:t>Comprehensive motor vehicle insurance for project vehicles (JCE requirement).</w:t>
      </w:r>
    </w:p>
    <w:p>
      <w:r>
        <w:rPr>
          <w:b w:val="0"/>
        </w:rPr>
        <w:t>Please state your insurer, levels of cover and expiry dates, and attach current certificates of currency.</w:t>
      </w:r>
    </w:p>
    <w:p>
      <w:r>
        <w:rPr>
          <w:b/>
        </w:rPr>
        <w:t xml:space="preserve">Work health and safety. </w:t>
      </w:r>
      <w:r>
        <w:rPr>
          <w:b w:val="0"/>
        </w:rPr>
        <w:t>A documented WHS system; SWMS and a site-specific safety plan, which are Council hold points before any site work; Council WHS induction before site access; AS 4602 high-visibility clothing and AS 2210 footwear. No road or bridge closures without Council agreement. Council may audit site work without notice.</w:t>
      </w:r>
    </w:p>
    <w:p>
      <w:r>
        <w:rPr>
          <w:b/>
        </w:rPr>
        <w:t xml:space="preserve">Quality and ISO 9001. </w:t>
      </w:r>
      <w:r>
        <w:rPr>
          <w:b w:val="0"/>
        </w:rPr>
        <w:t>Item 12 of the Agreement names ISO 9001 as the quality system. Please state your ISO 9001 status: whether you hold third-party ISO 9001 certification (certifier, certificate number and expiry), or, if not, the documented quality system you use. Please also describe your QA checks for this work.</w:t>
      </w:r>
    </w:p>
    <w:p>
      <w:r>
        <w:rPr>
          <w:b/>
        </w:rPr>
        <w:t xml:space="preserve">Payment. </w:t>
      </w:r>
      <w:r>
        <w:rPr>
          <w:b w:val="0"/>
        </w:rPr>
        <w:t>Council pays the Lead Consultant against milestones each year: mobilisation 20%, inspections complete 30%, draft data 25%, draft report 15%, final data and report 10%. JCE will pay you on the same milestones.</w:t>
      </w:r>
    </w:p>
    <w:p>
      <w:pPr>
        <w:keepNext/>
        <w:spacing w:before="200"/>
      </w:pPr>
      <w:r>
        <w:rPr>
          <w:b/>
          <w:color w:val="1F3A5F"/>
          <w:sz w:val="23"/>
        </w:rPr>
        <w:t>7.0   Relevant experience and referees</w:t>
      </w:r>
    </w:p>
    <w:p>
      <w:pPr>
        <w:keepNext/>
      </w:pPr>
      <w:r>
        <w:rPr>
          <w:b w:val="0"/>
        </w:rPr>
        <w:t>Council scores Resources and Relevant Experience at 20% of the evaluation and asks for at least three similar projects with referees (Schedule 5). JCE has asked Council to confirm that partner staff, projects and referees are assessed. Your experience will carry much of this score, so please provide:</w:t>
      </w:r>
    </w:p>
    <w:p>
      <w:pPr>
        <w:pStyle w:val="ListBullet"/>
        <w:keepNext w:val="0"/>
        <w:spacing w:after="40"/>
      </w:pPr>
      <w:r>
        <w:t>Two or three comparable regional council road network imaging and condition surveys in the last five years, preferably in NSW or northern Victoria, covering sealed and unsealed roads.</w:t>
      </w:r>
    </w:p>
    <w:p>
      <w:pPr>
        <w:pStyle w:val="ListBullet"/>
        <w:keepNext w:val="0"/>
        <w:spacing w:after="40"/>
      </w:pPr>
      <w:r>
        <w:t>Names and CVs of the project manager, raters and data lead, and the vehicles and imaging system you will use.</w:t>
      </w:r>
    </w:p>
    <w:p>
      <w:pPr>
        <w:pStyle w:val="ListBullet"/>
        <w:keepNext w:val="0"/>
        <w:spacing w:after="40"/>
      </w:pPr>
      <w:r>
        <w:t>For each project: client, location, scope and quantities, year, contract value, your role, and a referee (name, position, phone and email) who has agreed to be contacted.</w:t>
      </w:r>
    </w:p>
    <w:p>
      <w:pPr>
        <w:pStyle w:val="ListBullet"/>
        <w:keepNext w:val="0"/>
        <w:spacing w:after="40"/>
      </w:pPr>
      <w:r>
        <w:t>Your permission for JCE to name your firm and key staff in its tender and to include the projects and referees you provide.</w:t>
      </w:r>
    </w:p>
    <w:p>
      <w:pPr>
        <w:pStyle w:val="ListBullet"/>
        <w:spacing w:after="40"/>
      </w:pPr>
      <w:r>
        <w:t>Local content (5% of the evaluation): any staff, office, depot, suppliers or accommodation spend in the Murray River LGA or the nearby cross-border towns, for example Echuca or Swan Hill.</w:t>
      </w:r>
    </w:p>
    <w:p>
      <w:pPr>
        <w:keepNext/>
        <w:spacing w:before="200"/>
      </w:pPr>
      <w:r>
        <w:rPr>
          <w:b/>
          <w:color w:val="1F3A5F"/>
          <w:sz w:val="23"/>
        </w:rPr>
        <w:t>8.0   Pricing schedule</w:t>
      </w:r>
    </w:p>
    <w:p>
      <w:pPr>
        <w:keepNext/>
      </w:pPr>
      <w:r>
        <w:rPr>
          <w:b w:val="0"/>
        </w:rPr>
        <w:t>Please price in Australian dollars, excluding GST. Each lump sum includes all labour, plant, travel, accommodation, processing and expenses. The 2028 to 2031 prices are lump sums for each year and include your escalation and an allowance for nominal network growth, as Council requires. JCE adds its own margin, so please do not include one for JCE.</w:t>
      </w:r>
    </w:p>
    <w:p>
      <w:pPr>
        <w:keepNext/>
        <w:spacing w:before="80"/>
      </w:pPr>
      <w:r>
        <w:rPr>
          <w:b/>
        </w:rPr>
        <w:t>A. Lump sums by item and asset class</w:t>
      </w:r>
    </w:p>
    <w:tbl>
      <w:tblPr>
        <w:tblStyle w:val="TableGrid"/>
        <w:tblW w:type="auto" w:w="0"/>
        <w:jc w:val="center"/>
        <w:tblLayout w:type="fixed"/>
        <w:tblLook w:firstColumn="1" w:firstRow="1" w:lastColumn="0" w:lastRow="0" w:noHBand="0" w:noVBand="1" w:val="04A0"/>
      </w:tblPr>
      <w:tblGrid>
        <w:gridCol w:w="737"/>
        <w:gridCol w:w="4252"/>
        <w:gridCol w:w="907"/>
        <w:gridCol w:w="850"/>
        <w:gridCol w:w="1361"/>
        <w:gridCol w:w="1531"/>
      </w:tblGrid>
      <w:tr>
        <w:trPr>
          <w:tblHeader/>
          <w:cantSplit/>
        </w:trPr>
        <w:tc>
          <w:tcPr>
            <w:tcW w:type="dxa" w:w="737"/>
            <w:shd w:val="clear" w:color="auto" w:fill="1F3A5F"/>
          </w:tcPr>
          <w:p>
            <w:pPr>
              <w:spacing w:after="20"/>
            </w:pPr>
            <w:r>
              <w:rPr>
                <w:b/>
                <w:color w:val="FFFFFF"/>
                <w:sz w:val="18"/>
              </w:rPr>
              <w:t>Item</w:t>
            </w:r>
          </w:p>
        </w:tc>
        <w:tc>
          <w:tcPr>
            <w:tcW w:type="dxa" w:w="4252"/>
            <w:shd w:val="clear" w:color="auto" w:fill="1F3A5F"/>
          </w:tcPr>
          <w:p>
            <w:pPr>
              <w:spacing w:after="20"/>
            </w:pPr>
            <w:r>
              <w:rPr>
                <w:b/>
                <w:color w:val="FFFFFF"/>
                <w:sz w:val="18"/>
              </w:rPr>
              <w:t>Description</w:t>
            </w:r>
          </w:p>
        </w:tc>
        <w:tc>
          <w:tcPr>
            <w:tcW w:type="dxa" w:w="907"/>
            <w:shd w:val="clear" w:color="auto" w:fill="1F3A5F"/>
          </w:tcPr>
          <w:p>
            <w:pPr>
              <w:spacing w:after="20"/>
            </w:pPr>
            <w:r>
              <w:rPr>
                <w:b/>
                <w:color w:val="FFFFFF"/>
                <w:sz w:val="18"/>
              </w:rPr>
              <w:t>Unit</w:t>
            </w:r>
          </w:p>
        </w:tc>
        <w:tc>
          <w:tcPr>
            <w:tcW w:type="dxa" w:w="850"/>
            <w:shd w:val="clear" w:color="auto" w:fill="1F3A5F"/>
          </w:tcPr>
          <w:p>
            <w:pPr>
              <w:spacing w:after="20"/>
            </w:pPr>
            <w:r>
              <w:rPr>
                <w:b/>
                <w:color w:val="FFFFFF"/>
                <w:sz w:val="18"/>
              </w:rPr>
              <w:t>Qty</w:t>
            </w:r>
          </w:p>
        </w:tc>
        <w:tc>
          <w:tcPr>
            <w:tcW w:type="dxa" w:w="1361"/>
            <w:shd w:val="clear" w:color="auto" w:fill="1F3A5F"/>
          </w:tcPr>
          <w:p>
            <w:pPr>
              <w:spacing w:after="20"/>
            </w:pPr>
            <w:r>
              <w:rPr>
                <w:b/>
                <w:color w:val="FFFFFF"/>
                <w:sz w:val="18"/>
              </w:rPr>
              <w:t>Rate ($)</w:t>
            </w:r>
          </w:p>
        </w:tc>
        <w:tc>
          <w:tcPr>
            <w:tcW w:type="dxa" w:w="1531"/>
            <w:shd w:val="clear" w:color="auto" w:fill="1F3A5F"/>
          </w:tcPr>
          <w:p>
            <w:pPr>
              <w:spacing w:after="20"/>
            </w:pPr>
            <w:r>
              <w:rPr>
                <w:b/>
                <w:color w:val="FFFFFF"/>
                <w:sz w:val="18"/>
              </w:rPr>
              <w:t>Amount ($)</w:t>
            </w:r>
          </w:p>
        </w:tc>
      </w:tr>
      <w:tr>
        <w:trPr>
          <w:cantSplit/>
        </w:trPr>
        <w:tc>
          <w:tcPr>
            <w:tcW w:type="dxa" w:w="737"/>
          </w:tcPr>
          <w:p>
            <w:pPr>
              <w:spacing w:after="20"/>
            </w:pPr>
            <w:r>
              <w:rPr>
                <w:sz w:val="18"/>
              </w:rPr>
              <w:t>R1</w:t>
            </w:r>
          </w:p>
        </w:tc>
        <w:tc>
          <w:tcPr>
            <w:tcW w:type="dxa" w:w="4252"/>
          </w:tcPr>
          <w:p>
            <w:pPr>
              <w:spacing w:after="20"/>
            </w:pPr>
            <w:r>
              <w:rPr>
                <w:sz w:val="18"/>
              </w:rPr>
              <w:t>Mobilisation, pilot, rating guide set-up, processing, QA and road outputs in Council's template (Year 1)</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R2</w:t>
            </w:r>
          </w:p>
        </w:tc>
        <w:tc>
          <w:tcPr>
            <w:tcW w:type="dxa" w:w="4252"/>
          </w:tcPr>
          <w:p>
            <w:pPr>
              <w:spacing w:after="20"/>
            </w:pPr>
            <w:r>
              <w:rPr>
                <w:sz w:val="18"/>
              </w:rPr>
              <w:t>Sealed roads: imaging (with roadside) and condition rating</w:t>
            </w:r>
          </w:p>
        </w:tc>
        <w:tc>
          <w:tcPr>
            <w:tcW w:type="dxa" w:w="907"/>
          </w:tcPr>
          <w:p>
            <w:pPr>
              <w:spacing w:after="20"/>
            </w:pPr>
            <w:r>
              <w:rPr>
                <w:sz w:val="18"/>
              </w:rPr>
              <w:t>km</w:t>
            </w:r>
          </w:p>
        </w:tc>
        <w:tc>
          <w:tcPr>
            <w:tcW w:type="dxa" w:w="850"/>
          </w:tcPr>
          <w:p>
            <w:pPr>
              <w:spacing w:after="20"/>
            </w:pPr>
            <w:r>
              <w:rPr>
                <w:sz w:val="18"/>
              </w:rPr>
              <w:t>1,110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R3</w:t>
            </w:r>
          </w:p>
        </w:tc>
        <w:tc>
          <w:tcPr>
            <w:tcW w:type="dxa" w:w="4252"/>
          </w:tcPr>
          <w:p>
            <w:pPr>
              <w:spacing w:after="20"/>
            </w:pPr>
            <w:r>
              <w:rPr>
                <w:sz w:val="18"/>
              </w:rPr>
              <w:t>Unsealed roads: imaging (with roadside) and condition rating</w:t>
            </w:r>
          </w:p>
        </w:tc>
        <w:tc>
          <w:tcPr>
            <w:tcW w:type="dxa" w:w="907"/>
          </w:tcPr>
          <w:p>
            <w:pPr>
              <w:spacing w:after="20"/>
            </w:pPr>
            <w:r>
              <w:rPr>
                <w:sz w:val="18"/>
              </w:rPr>
              <w:t>km</w:t>
            </w:r>
          </w:p>
        </w:tc>
        <w:tc>
          <w:tcPr>
            <w:tcW w:type="dxa" w:w="850"/>
          </w:tcPr>
          <w:p>
            <w:pPr>
              <w:spacing w:after="20"/>
            </w:pPr>
            <w:r>
              <w:rPr>
                <w:sz w:val="18"/>
              </w:rPr>
              <w:t>1,890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shd w:val="clear" w:color="auto" w:fill="E8EEF5"/>
          </w:tcPr>
          <w:p>
            <w:pPr>
              <w:spacing w:after="20"/>
            </w:pPr>
            <w:r>
              <w:rPr>
                <w:b/>
                <w:sz w:val="18"/>
              </w:rPr>
            </w:r>
          </w:p>
        </w:tc>
        <w:tc>
          <w:tcPr>
            <w:tcW w:type="dxa" w:w="4252"/>
            <w:shd w:val="clear" w:color="auto" w:fill="E8EEF5"/>
          </w:tcPr>
          <w:p>
            <w:pPr>
              <w:spacing w:after="20"/>
            </w:pPr>
            <w:r>
              <w:rPr>
                <w:b/>
                <w:sz w:val="18"/>
              </w:rPr>
              <w:t>Total lump sum, Year 1 (2027), R1 to R3</w:t>
            </w:r>
          </w:p>
        </w:tc>
        <w:tc>
          <w:tcPr>
            <w:tcW w:type="dxa" w:w="907"/>
            <w:shd w:val="clear" w:color="auto" w:fill="E8EEF5"/>
          </w:tcPr>
          <w:p>
            <w:pPr>
              <w:spacing w:after="20"/>
            </w:pPr>
            <w:r>
              <w:rPr>
                <w:b/>
                <w:sz w:val="18"/>
              </w:rPr>
            </w:r>
          </w:p>
        </w:tc>
        <w:tc>
          <w:tcPr>
            <w:tcW w:type="dxa" w:w="850"/>
            <w:shd w:val="clear" w:color="auto" w:fill="E8EEF5"/>
          </w:tcPr>
          <w:p>
            <w:pPr>
              <w:spacing w:after="20"/>
            </w:pPr>
            <w:r>
              <w:rPr>
                <w:b/>
                <w:sz w:val="18"/>
              </w:rPr>
            </w:r>
          </w:p>
        </w:tc>
        <w:tc>
          <w:tcPr>
            <w:tcW w:type="dxa" w:w="1361"/>
            <w:shd w:val="clear" w:color="auto" w:fill="E8EEF5"/>
          </w:tcPr>
          <w:p>
            <w:pPr>
              <w:spacing w:after="20"/>
            </w:pPr>
            <w:r>
              <w:rPr>
                <w:b/>
                <w:sz w:val="18"/>
              </w:rPr>
            </w:r>
          </w:p>
        </w:tc>
        <w:tc>
          <w:tcPr>
            <w:tcW w:type="dxa" w:w="1531"/>
            <w:shd w:val="clear" w:color="auto" w:fill="E8EEF5"/>
          </w:tcPr>
          <w:p>
            <w:pPr>
              <w:spacing w:after="20"/>
            </w:pPr>
            <w:r>
              <w:rPr>
                <w:b/>
                <w:sz w:val="18"/>
              </w:rPr>
            </w:r>
          </w:p>
        </w:tc>
      </w:tr>
      <w:tr>
        <w:trPr>
          <w:cantSplit/>
        </w:trPr>
        <w:tc>
          <w:tcPr>
            <w:tcW w:type="dxa" w:w="737"/>
          </w:tcPr>
          <w:p>
            <w:pPr>
              <w:spacing w:after="20"/>
            </w:pPr>
            <w:r>
              <w:rPr>
                <w:sz w:val="18"/>
              </w:rPr>
              <w:t>Y2</w:t>
            </w:r>
          </w:p>
        </w:tc>
        <w:tc>
          <w:tcPr>
            <w:tcW w:type="dxa" w:w="4252"/>
          </w:tcPr>
          <w:p>
            <w:pPr>
              <w:spacing w:after="20"/>
            </w:pPr>
            <w:r>
              <w:rPr>
                <w:sz w:val="18"/>
              </w:rPr>
              <w:t>2028: Zone 1 Barham road imaging and road rating (about 809 km), plus new roads Council lists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Y3</w:t>
            </w:r>
          </w:p>
        </w:tc>
        <w:tc>
          <w:tcPr>
            <w:tcW w:type="dxa" w:w="4252"/>
          </w:tcPr>
          <w:p>
            <w:pPr>
              <w:spacing w:after="20"/>
            </w:pPr>
            <w:r>
              <w:rPr>
                <w:sz w:val="18"/>
              </w:rPr>
              <w:t>2029: Zone 2 Mathoura (about 864 km), plus new roads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Y4</w:t>
            </w:r>
          </w:p>
        </w:tc>
        <w:tc>
          <w:tcPr>
            <w:tcW w:type="dxa" w:w="4252"/>
          </w:tcPr>
          <w:p>
            <w:pPr>
              <w:spacing w:after="20"/>
            </w:pPr>
            <w:r>
              <w:rPr>
                <w:sz w:val="18"/>
              </w:rPr>
              <w:t>2030: Zone 3 Moama (about 474 km), plus new roads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Y5</w:t>
            </w:r>
          </w:p>
        </w:tc>
        <w:tc>
          <w:tcPr>
            <w:tcW w:type="dxa" w:w="4252"/>
          </w:tcPr>
          <w:p>
            <w:pPr>
              <w:spacing w:after="20"/>
            </w:pPr>
            <w:r>
              <w:rPr>
                <w:sz w:val="18"/>
              </w:rPr>
              <w:t>2031: Zone 4 Moulamein (about 842 km), plus new roads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bl>
    <w:p>
      <w:pPr>
        <w:spacing w:after="0"/>
      </w:pPr>
    </w:p>
    <w:p>
      <w:pPr>
        <w:keepNext/>
        <w:spacing w:before="80"/>
      </w:pPr>
      <w:r>
        <w:rPr>
          <w:b/>
        </w:rPr>
        <w:t>B. Unit rates for added or removed quantities</w:t>
      </w:r>
    </w:p>
    <w:tbl>
      <w:tblPr>
        <w:tblStyle w:val="TableGrid"/>
        <w:tblW w:type="auto" w:w="0"/>
        <w:jc w:val="center"/>
        <w:tblLayout w:type="fixed"/>
        <w:tblLook w:firstColumn="1" w:firstRow="1" w:lastColumn="0" w:lastRow="0" w:noHBand="0" w:noVBand="1" w:val="04A0"/>
      </w:tblPr>
      <w:tblGrid>
        <w:gridCol w:w="737"/>
        <w:gridCol w:w="6123"/>
        <w:gridCol w:w="1361"/>
        <w:gridCol w:w="1417"/>
      </w:tblGrid>
      <w:tr>
        <w:trPr>
          <w:tblHeader/>
          <w:cantSplit/>
        </w:trPr>
        <w:tc>
          <w:tcPr>
            <w:tcW w:type="dxa" w:w="737"/>
            <w:shd w:val="clear" w:color="auto" w:fill="1F3A5F"/>
          </w:tcPr>
          <w:p>
            <w:pPr>
              <w:keepNext/>
              <w:spacing w:after="20"/>
            </w:pPr>
            <w:r>
              <w:rPr>
                <w:b/>
                <w:color w:val="FFFFFF"/>
                <w:sz w:val="18"/>
              </w:rPr>
              <w:t>Item</w:t>
            </w:r>
          </w:p>
        </w:tc>
        <w:tc>
          <w:tcPr>
            <w:tcW w:type="dxa" w:w="6123"/>
            <w:shd w:val="clear" w:color="auto" w:fill="1F3A5F"/>
          </w:tcPr>
          <w:p>
            <w:pPr>
              <w:keepNext/>
              <w:spacing w:after="20"/>
            </w:pPr>
            <w:r>
              <w:rPr>
                <w:b/>
                <w:color w:val="FFFFFF"/>
                <w:sz w:val="18"/>
              </w:rPr>
              <w:t>Description</w:t>
            </w:r>
          </w:p>
        </w:tc>
        <w:tc>
          <w:tcPr>
            <w:tcW w:type="dxa" w:w="1361"/>
            <w:shd w:val="clear" w:color="auto" w:fill="1F3A5F"/>
          </w:tcPr>
          <w:p>
            <w:pPr>
              <w:keepNext/>
              <w:spacing w:after="20"/>
            </w:pPr>
            <w:r>
              <w:rPr>
                <w:b/>
                <w:color w:val="FFFFFF"/>
                <w:sz w:val="18"/>
              </w:rPr>
              <w:t>Unit</w:t>
            </w:r>
          </w:p>
        </w:tc>
        <w:tc>
          <w:tcPr>
            <w:tcW w:type="dxa" w:w="1417"/>
            <w:shd w:val="clear" w:color="auto" w:fill="1F3A5F"/>
          </w:tcPr>
          <w:p>
            <w:pPr>
              <w:keepNext/>
              <w:spacing w:after="20"/>
            </w:pPr>
            <w:r>
              <w:rPr>
                <w:b/>
                <w:color w:val="FFFFFF"/>
                <w:sz w:val="18"/>
              </w:rPr>
              <w:t>Rate ($)</w:t>
            </w:r>
          </w:p>
        </w:tc>
      </w:tr>
      <w:tr>
        <w:trPr>
          <w:cantSplit/>
        </w:trPr>
        <w:tc>
          <w:tcPr>
            <w:tcW w:type="dxa" w:w="737"/>
          </w:tcPr>
          <w:p>
            <w:pPr>
              <w:keepNext/>
              <w:spacing w:after="20"/>
            </w:pPr>
            <w:r>
              <w:rPr>
                <w:sz w:val="18"/>
              </w:rPr>
              <w:t>U1</w:t>
            </w:r>
          </w:p>
        </w:tc>
        <w:tc>
          <w:tcPr>
            <w:tcW w:type="dxa" w:w="6123"/>
          </w:tcPr>
          <w:p>
            <w:pPr>
              <w:keepNext/>
              <w:spacing w:after="20"/>
            </w:pPr>
            <w:r>
              <w:rPr>
                <w:sz w:val="18"/>
              </w:rPr>
              <w:t>Sealed road,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keepNext/>
              <w:spacing w:after="20"/>
            </w:pPr>
            <w:r>
              <w:rPr>
                <w:sz w:val="18"/>
              </w:rPr>
              <w:t>U2</w:t>
            </w:r>
          </w:p>
        </w:tc>
        <w:tc>
          <w:tcPr>
            <w:tcW w:type="dxa" w:w="6123"/>
          </w:tcPr>
          <w:p>
            <w:pPr>
              <w:keepNext/>
              <w:spacing w:after="20"/>
            </w:pPr>
            <w:r>
              <w:rPr>
                <w:sz w:val="18"/>
              </w:rPr>
              <w:t>Unsealed road,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spacing w:after="20"/>
            </w:pPr>
            <w:r>
              <w:rPr>
                <w:sz w:val="18"/>
              </w:rPr>
              <w:t>U3</w:t>
            </w:r>
          </w:p>
        </w:tc>
        <w:tc>
          <w:tcPr>
            <w:tcW w:type="dxa" w:w="6123"/>
          </w:tcPr>
          <w:p>
            <w:pPr>
              <w:spacing w:after="20"/>
            </w:pPr>
            <w:r>
              <w:rPr>
                <w:sz w:val="18"/>
              </w:rPr>
              <w:t>Newly acquired roads in rolling years, if not in Y2 to Y5</w:t>
            </w:r>
          </w:p>
        </w:tc>
        <w:tc>
          <w:tcPr>
            <w:tcW w:type="dxa" w:w="1361"/>
          </w:tcPr>
          <w:p>
            <w:pPr>
              <w:spacing w:after="20"/>
            </w:pPr>
            <w:r>
              <w:rPr>
                <w:sz w:val="18"/>
              </w:rPr>
              <w:t>per km</w:t>
            </w:r>
          </w:p>
        </w:tc>
        <w:tc>
          <w:tcPr>
            <w:tcW w:type="dxa" w:w="1417"/>
          </w:tcPr>
          <w:p>
            <w:pPr>
              <w:spacing w:after="20"/>
            </w:pPr>
            <w:r>
              <w:rPr>
                <w:sz w:val="18"/>
              </w:rPr>
            </w:r>
          </w:p>
        </w:tc>
      </w:tr>
    </w:tbl>
    <w:p>
      <w:pPr>
        <w:spacing w:after="0"/>
      </w:pPr>
    </w:p>
    <w:p>
      <w:pPr>
        <w:keepNext/>
        <w:spacing w:before="80"/>
      </w:pPr>
      <w:r>
        <w:rPr>
          <w:b/>
        </w:rPr>
        <w:t>C. Hourly and day rates for directed additional work</w:t>
      </w:r>
    </w:p>
    <w:tbl>
      <w:tblPr>
        <w:tblStyle w:val="TableGrid"/>
        <w:tblW w:type="auto" w:w="0"/>
        <w:jc w:val="center"/>
        <w:tblLayout w:type="fixed"/>
        <w:tblLook w:firstColumn="1" w:firstRow="1" w:lastColumn="0" w:lastRow="0" w:noHBand="0" w:noVBand="1" w:val="04A0"/>
      </w:tblPr>
      <w:tblGrid>
        <w:gridCol w:w="5102"/>
        <w:gridCol w:w="2268"/>
        <w:gridCol w:w="2268"/>
      </w:tblGrid>
      <w:tr>
        <w:trPr>
          <w:tblHeader/>
          <w:cantSplit/>
        </w:trPr>
        <w:tc>
          <w:tcPr>
            <w:tcW w:type="dxa" w:w="5102"/>
            <w:shd w:val="clear" w:color="auto" w:fill="1F3A5F"/>
          </w:tcPr>
          <w:p>
            <w:pPr>
              <w:keepNext/>
              <w:spacing w:after="20"/>
            </w:pPr>
            <w:r>
              <w:rPr>
                <w:b/>
                <w:color w:val="FFFFFF"/>
                <w:sz w:val="18"/>
              </w:rPr>
              <w:t>Role or resource</w:t>
            </w:r>
          </w:p>
        </w:tc>
        <w:tc>
          <w:tcPr>
            <w:tcW w:type="dxa" w:w="2268"/>
            <w:shd w:val="clear" w:color="auto" w:fill="1F3A5F"/>
          </w:tcPr>
          <w:p>
            <w:pPr>
              <w:keepNext/>
              <w:spacing w:after="20"/>
            </w:pPr>
            <w:r>
              <w:rPr>
                <w:b/>
                <w:color w:val="FFFFFF"/>
                <w:sz w:val="18"/>
              </w:rPr>
              <w:t>Hourly rate ($)</w:t>
            </w:r>
          </w:p>
        </w:tc>
        <w:tc>
          <w:tcPr>
            <w:tcW w:type="dxa" w:w="2268"/>
            <w:shd w:val="clear" w:color="auto" w:fill="1F3A5F"/>
          </w:tcPr>
          <w:p>
            <w:pPr>
              <w:keepNext/>
              <w:spacing w:after="20"/>
            </w:pPr>
            <w:r>
              <w:rPr>
                <w:b/>
                <w:color w:val="FFFFFF"/>
                <w:sz w:val="18"/>
              </w:rPr>
              <w:t>Day rate ($)</w:t>
            </w:r>
          </w:p>
        </w:tc>
      </w:tr>
      <w:tr>
        <w:trPr>
          <w:cantSplit/>
        </w:trPr>
        <w:tc>
          <w:tcPr>
            <w:tcW w:type="dxa" w:w="5102"/>
          </w:tcPr>
          <w:p>
            <w:pPr>
              <w:keepNext/>
              <w:spacing w:after="20"/>
            </w:pPr>
            <w:r>
              <w:rPr>
                <w:sz w:val="18"/>
              </w:rPr>
              <w:t>Project manager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Rater or inspector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Data or GIS analyst</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spacing w:after="20"/>
            </w:pPr>
            <w:r>
              <w:rPr>
                <w:sz w:val="18"/>
              </w:rPr>
              <w:t>Imaging crew (vehicle, driver and rater)</w:t>
            </w:r>
          </w:p>
        </w:tc>
        <w:tc>
          <w:tcPr>
            <w:tcW w:type="dxa" w:w="2268"/>
          </w:tcPr>
          <w:p>
            <w:pPr>
              <w:spacing w:after="20"/>
            </w:pPr>
            <w:r>
              <w:rPr>
                <w:sz w:val="18"/>
              </w:rPr>
            </w:r>
          </w:p>
        </w:tc>
        <w:tc>
          <w:tcPr>
            <w:tcW w:type="dxa" w:w="2268"/>
          </w:tcPr>
          <w:p>
            <w:pPr>
              <w:spacing w:after="20"/>
            </w:pPr>
            <w:r>
              <w:rPr>
                <w:sz w:val="18"/>
              </w:rPr>
            </w:r>
          </w:p>
        </w:tc>
      </w:tr>
    </w:tbl>
    <w:p>
      <w:pPr>
        <w:spacing w:after="0"/>
      </w:pPr>
    </w:p>
    <w:p>
      <w:r>
        <w:rPr>
          <w:b/>
        </w:rPr>
        <w:t xml:space="preserve">Exclusions and assumptions. </w:t>
      </w:r>
      <w:r>
        <w:rPr>
          <w:b w:val="0"/>
        </w:rPr>
        <w:t>Please list them. Council treats qualifications in a tender as non-conforming, so keep them few and plain.</w:t>
      </w:r>
    </w:p>
    <w:p>
      <w:r>
        <w:rPr>
          <w:b/>
        </w:rPr>
        <w:t xml:space="preserve">Validity. </w:t>
      </w:r>
      <w:r>
        <w:rPr>
          <w:b w:val="0"/>
        </w:rPr>
        <w:t>Please hold your prices for 90 days from the quote due date, that is to 26/01/2027. Council requires JCE's tender to stay open for 60 days after the 13/11/2026 close.</w:t>
      </w:r>
    </w:p>
    <w:p>
      <w:pPr>
        <w:keepNext/>
        <w:spacing w:before="200"/>
      </w:pPr>
      <w:r>
        <w:rPr>
          <w:b/>
          <w:color w:val="1F3A5F"/>
          <w:sz w:val="23"/>
        </w:rPr>
        <w:t>9.0   Confidentiality</w:t>
      </w:r>
    </w:p>
    <w:p>
      <w:r>
        <w:rPr>
          <w:b w:val="0"/>
        </w:rPr>
        <w:t>This request, Council's documents and any JCE pricing are confidential and are provided only for preparing your quotation. Please do not share them or use them for any other purpose, and delete them if you do not quote or if JCE is unsuccessful. If JCE is successful, clause 6.4 of the Agreement binds subconsultants to keep Council's information confidential, and Council data must not be kept after completion without Council's written consent. JCE will keep your pricing confidential and use it only for this tender.</w:t>
      </w:r>
    </w:p>
    <w:p>
      <w:pPr>
        <w:keepNext/>
        <w:spacing w:before="200"/>
      </w:pPr>
      <w:r>
        <w:rPr>
          <w:b/>
          <w:color w:val="1F3A5F"/>
          <w:sz w:val="23"/>
        </w:rPr>
        <w:t>10.0   Independence and conflict of interest</w:t>
      </w:r>
    </w:p>
    <w:p>
      <w:pPr>
        <w:keepNext/>
      </w:pPr>
      <w:r>
        <w:rPr>
          <w:b w:val="0"/>
        </w:rPr>
        <w:t>Council requires tenderers to declare any actual or potential conflict of interest (Conditions of Tender clause 4.1 and Schedule 9). Please tell us in your quotation:</w:t>
      </w:r>
    </w:p>
    <w:p>
      <w:pPr>
        <w:pStyle w:val="ListBullet"/>
        <w:keepNext/>
        <w:spacing w:after="40"/>
      </w:pPr>
      <w:r>
        <w:t>whether you are tendering for MRC-2645 yourself or quoting to other tenderers (this does not rule you out, but JCE needs to know, and JCE's documents must not be shared with them);</w:t>
      </w:r>
    </w:p>
    <w:p>
      <w:pPr>
        <w:pStyle w:val="ListBullet"/>
        <w:keepNext/>
        <w:spacing w:after="40"/>
      </w:pPr>
      <w:r>
        <w:t>any current or past work for Murray River Council on these assets, including the previous inspection and valuation cycle; and</w:t>
      </w:r>
    </w:p>
    <w:p>
      <w:pPr>
        <w:pStyle w:val="ListBullet"/>
        <w:spacing w:after="40"/>
      </w:pPr>
      <w:r>
        <w:t>any relationship with Council staff or Councillors that should be declared.</w:t>
      </w:r>
    </w:p>
    <w:p>
      <w:pPr>
        <w:keepNext/>
        <w:spacing w:before="200"/>
      </w:pPr>
      <w:r>
        <w:rPr>
          <w:b/>
          <w:color w:val="1F3A5F"/>
          <w:sz w:val="23"/>
        </w:rPr>
        <w:t>11.0   Basis of engagement</w:t>
      </w:r>
    </w:p>
    <w:p>
      <w:pPr>
        <w:pStyle w:val="ListBullet"/>
        <w:keepNext/>
        <w:spacing w:after="40"/>
      </w:pPr>
      <w:r>
        <w:t>Your engagement depends on Council awarding the contract to JCE and approving you as a subconsultant (clause 8 of the Agreement requires Council's prior written approval). This request is not an engagement, and JCE does not pay for preparing quotations.</w:t>
      </w:r>
    </w:p>
    <w:p>
      <w:pPr>
        <w:pStyle w:val="ListBullet"/>
        <w:spacing w:after="40"/>
      </w:pPr>
      <w:r>
        <w:t>If JCE is successful, JCE will engage you on a subconsultancy agreement that passes down the relevant terms of Council's Agreement, including insurance, WHS, confidentiality, records and payment on Council's milestones. Council expects to decide by 11/12/2026.</w:t>
      </w:r>
    </w:p>
    <w:p>
      <w:pPr>
        <w:keepNext/>
        <w:spacing w:before="200"/>
      </w:pPr>
      <w:r>
        <w:rPr>
          <w:b/>
          <w:color w:val="1F3A5F"/>
          <w:sz w:val="23"/>
        </w:rPr>
        <w:t>12.0   How to respond</w:t>
      </w:r>
    </w:p>
    <w:p>
      <w:pPr>
        <w:keepNext/>
      </w:pPr>
      <w:r>
        <w:rPr>
          <w:b w:val="0"/>
        </w:rPr>
        <w:t>Please email your quotation to jayden@jceinfrastructure.com.au by 12:00 pm, Wednesday 28/10/2026, with:</w:t>
      </w:r>
    </w:p>
    <w:p>
      <w:pPr>
        <w:pStyle w:val="ListBullet"/>
        <w:keepNext/>
        <w:spacing w:after="40"/>
      </w:pPr>
      <w:r>
        <w:t>the completed pricing schedule (parts A to C), exclusions and assumptions;</w:t>
      </w:r>
    </w:p>
    <w:p>
      <w:pPr>
        <w:pStyle w:val="ListBullet"/>
        <w:keepNext/>
        <w:spacing w:after="40"/>
      </w:pPr>
      <w:r>
        <w:t>a short methodology for your scope, including equipment and access;</w:t>
      </w:r>
    </w:p>
    <w:p>
      <w:pPr>
        <w:pStyle w:val="ListBullet"/>
        <w:keepNext/>
        <w:spacing w:after="40"/>
      </w:pPr>
      <w:r>
        <w:t>company profile, key staff CVs, three similar projects with referees, and your conflict of interest statement;</w:t>
      </w:r>
    </w:p>
    <w:p>
      <w:pPr>
        <w:pStyle w:val="ListBullet"/>
        <w:spacing w:after="40"/>
      </w:pPr>
      <w:r>
        <w:t>certificates of currency for the insurances in section 6.0.</w:t>
      </w:r>
    </w:p>
    <w:p>
      <w:r>
        <w:rPr>
          <w:b w:val="0"/>
        </w:rPr>
        <w:t>Please confirm by Monday 19/10/2026 whether you will quote. Questions are welcome by phone on 0477 207 027 or by email. Questions received by 12:00 pm, Wednesday 21/10/2026 can still be put to Council if needed.</w:t>
      </w:r>
    </w:p>
    <w:p>
      <w:pPr>
        <w:keepNext/>
        <w:spacing w:before="160"/>
      </w:pPr>
      <w:r>
        <w:rPr>
          <w:b w:val="0"/>
        </w:rPr>
        <w:t>Yours faithfully,</w:t>
      </w:r>
    </w:p>
    <w:p>
      <w:pPr>
        <w:keepNext/>
        <w:spacing w:after="280"/>
      </w:pPr>
      <w:r>
        <w:rPr>
          <w:b w:val="0"/>
        </w:rPr>
      </w:r>
    </w:p>
    <w:p>
      <w:pPr>
        <w:keepNext/>
        <w:spacing w:after="0"/>
      </w:pPr>
      <w:r>
        <w:rPr>
          <w:b/>
        </w:rPr>
        <w:t>Jayden Callen</w:t>
      </w:r>
    </w:p>
    <w:p>
      <w:pPr>
        <w:keepNext/>
        <w:spacing w:after="0"/>
      </w:pPr>
      <w:r>
        <w:rPr>
          <w:b w:val="0"/>
        </w:rPr>
        <w:t>Director</w:t>
      </w:r>
    </w:p>
    <w:p>
      <w:pPr>
        <w:keepNext/>
        <w:spacing w:after="0"/>
      </w:pPr>
      <w:r>
        <w:rPr>
          <w:b w:val="0"/>
        </w:rPr>
        <w:t>JCE Infrastructure Pty Ltd   |   ABN 29 699 165 663</w:t>
      </w:r>
    </w:p>
    <w:p>
      <w:pPr>
        <w:spacing w:after="0"/>
      </w:pPr>
      <w:r>
        <w:rPr>
          <w:b w:val="0"/>
        </w:rPr>
        <w:t>0477 207 027   |   jayden@jceinfrastructure.com.au</w:t>
      </w:r>
    </w:p>
    <w:sectPr w:rsidR="00FC693F" w:rsidRPr="0006063C" w:rsidSect="00034616">
      <w:headerReference w:type="default" r:id="rId9"/>
      <w:footerReference w:type="default" r:id="rId10"/>
      <w:pgSz w:w="11906" w:h="16838"/>
      <w:pgMar w:top="85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 xml:space="preserve">JCE Infrastructure Pty Ltd   |   JCE-RFQ-VP527277-01 Rev C   |   MRC-2645 (VP527277)   |   Confidential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1F3A5F"/>
        <w:sz w:val="28"/>
      </w:rPr>
      <w:t>JCE Infrastructure Pty Ltd</w:t>
    </w:r>
  </w:p>
  <w:p>
    <w:pPr>
      <w:spacing w:after="0"/>
    </w:pPr>
    <w:r>
      <w:rPr>
        <w:color w:val="555555"/>
        <w:sz w:val="17"/>
      </w:rPr>
      <w:t>ABN 29 699 165 663   |   0477 207 027   |   jayden@jceinfrastructure.com.au</w:t>
    </w:r>
  </w:p>
  <w:p>
    <w:pPr>
      <w:spacing w:after="0"/>
      <w:pBdr>
        <w:bottom w:val="single" w:sz="8" w:space="4" w:color="1F3A5F"/>
      </w:pBdr>
    </w:pPr>
    <w:r>
      <w:rPr>
        <w:color w:val="555555"/>
        <w:sz w:val="17"/>
      </w:rPr>
      <w:t>756 Quia Road, Gunnedah NSW 2380   |   Civil and hydraulic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